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DD2F">
      <w:pPr>
        <w:jc w:val="center"/>
        <w:rPr>
          <w:rFonts w:ascii="华文中宋" w:hAnsi="华文中宋" w:eastAsia="华文中宋"/>
          <w:b/>
          <w:sz w:val="32"/>
        </w:rPr>
      </w:pPr>
      <w:r>
        <w:rPr>
          <w:rFonts w:hint="default" w:ascii="Times New Roman" w:hAnsi="Times New Roman" w:eastAsia="Times New Roman"/>
          <w:sz w:val="40"/>
          <w:szCs w:val="24"/>
        </w:rPr>
        <w:drawing>
          <wp:anchor distT="0" distB="0" distL="114300" distR="114300" simplePos="0" relativeHeight="251664384" behindDoc="1" locked="0" layoutInCell="1" allowOverlap="1">
            <wp:simplePos x="0" y="0"/>
            <wp:positionH relativeFrom="column">
              <wp:posOffset>5124450</wp:posOffset>
            </wp:positionH>
            <wp:positionV relativeFrom="paragraph">
              <wp:posOffset>-390525</wp:posOffset>
            </wp:positionV>
            <wp:extent cx="723900" cy="7239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23900" cy="7239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4363085</wp:posOffset>
                </wp:positionH>
                <wp:positionV relativeFrom="paragraph">
                  <wp:posOffset>-715010</wp:posOffset>
                </wp:positionV>
                <wp:extent cx="2247265" cy="2406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7265" cy="240665"/>
                        </a:xfrm>
                        <a:prstGeom prst="rect">
                          <a:avLst/>
                        </a:prstGeom>
                        <a:noFill/>
                        <a:ln w="9525">
                          <a:noFill/>
                          <a:miter lim="800000"/>
                        </a:ln>
                      </wps:spPr>
                      <wps:txbx>
                        <w:txbxContent>
                          <w:p w14:paraId="0AE3B1E9">
                            <w:pPr>
                              <w:widowControl/>
                              <w:ind w:right="105" w:rightChars="50"/>
                              <w:jc w:val="center"/>
                              <w:rPr>
                                <w:rFonts w:hint="default" w:ascii="仿宋_GB2312" w:hAnsi="仿宋" w:eastAsia="仿宋_GB2312"/>
                                <w:sz w:val="18"/>
                                <w:szCs w:val="20"/>
                                <w:lang w:val="en-US" w:eastAsia="zh-CN"/>
                              </w:rPr>
                            </w:pPr>
                            <w:r>
                              <w:rPr>
                                <w:rFonts w:hint="eastAsia" w:ascii="仿宋_GB2312" w:hAnsi="仿宋" w:eastAsia="仿宋_GB2312"/>
                                <w:sz w:val="18"/>
                                <w:szCs w:val="20"/>
                              </w:rPr>
                              <w:t>平安健康〔2025〕疾病保险</w:t>
                            </w:r>
                            <w:r>
                              <w:rPr>
                                <w:rFonts w:hint="eastAsia" w:ascii="仿宋_GB2312" w:hAnsi="仿宋" w:eastAsia="仿宋_GB2312"/>
                                <w:sz w:val="18"/>
                                <w:szCs w:val="20"/>
                                <w:highlight w:val="none"/>
                                <w:lang w:val="en-US" w:eastAsia="zh-CN"/>
                              </w:rPr>
                              <w:t>092</w:t>
                            </w:r>
                            <w:r>
                              <w:rPr>
                                <w:rFonts w:hint="eastAsia" w:ascii="仿宋_GB2312" w:hAnsi="仿宋" w:eastAsia="仿宋_GB2312"/>
                                <w:sz w:val="18"/>
                                <w:szCs w:val="20"/>
                                <w:lang w:val="en-US" w:eastAsia="zh-CN"/>
                              </w:rPr>
                              <w:t>号</w:t>
                            </w:r>
                          </w:p>
                          <w:p w14:paraId="1AC6B0DE">
                            <w:pPr>
                              <w:widowControl/>
                              <w:ind w:right="105" w:rightChars="50"/>
                              <w:jc w:val="center"/>
                              <w:rPr>
                                <w:rFonts w:ascii="仿宋_GB2312" w:hAnsi="仿宋" w:eastAsia="仿宋_GB2312"/>
                                <w:sz w:val="18"/>
                                <w:szCs w:val="20"/>
                              </w:rPr>
                            </w:pPr>
                            <w:r>
                              <w:rPr>
                                <w:rFonts w:hint="eastAsia" w:ascii="仿宋_GB2312" w:hAnsi="仿宋" w:eastAsia="仿宋_GB2312"/>
                                <w:sz w:val="18"/>
                                <w:szCs w:val="20"/>
                              </w:rPr>
                              <w:t>号</w:t>
                            </w:r>
                          </w:p>
                          <w:p w14:paraId="537BFAEE">
                            <w:pPr>
                              <w:rPr>
                                <w:sz w:val="20"/>
                              </w:rPr>
                            </w:pPr>
                          </w:p>
                        </w:txbxContent>
                      </wps:txbx>
                      <wps:bodyPr rot="0" vert="horz" wrap="square" lIns="91440" tIns="36000" rIns="91440" bIns="36000" anchor="t" anchorCtr="0" upright="1">
                        <a:noAutofit/>
                      </wps:bodyPr>
                    </wps:wsp>
                  </a:graphicData>
                </a:graphic>
              </wp:anchor>
            </w:drawing>
          </mc:Choice>
          <mc:Fallback>
            <w:pict>
              <v:shape id="_x0000_s1026" o:spid="_x0000_s1026" o:spt="202" type="#_x0000_t202" style="position:absolute;left:0pt;margin-left:343.55pt;margin-top:-56.3pt;height:18.95pt;width:176.95pt;z-index:251663360;mso-width-relative:page;mso-height-relative:page;" filled="f" stroked="f" coordsize="21600,21600" o:gfxdata="UEsDBAoAAAAAAIdO4kAAAAAAAAAAAAAAAAAEAAAAZHJzL1BLAwQUAAAACACHTuJAGXzFG9oAAAAN&#10;AQAADwAAAGRycy9kb3ducmV2LnhtbE2Py07DMBBF90j8gzVI7FrbVUjaEKcLJKQuuqCPD5jGQxwR&#10;2yF229Cvx13BcmaO7pxbrSfbswuNofNOgZwLYOQarzvXKjge3mdLYCGi09h7Rwp+KMC6fnyosNT+&#10;6nZ02ceWpRAXSlRgYhxKzkNjyGKY+4Fcun360WJM49hyPeI1hdueL4TIucXOpQ8GB3oz1Hztz1bB&#10;ZvuxmUzjj7TKvnfG+BvGl4NSz09SvAKLNMU/GO76SR3q5HTyZ6cD6xXky0ImVMFMykUO7I6ITKZ+&#10;p7QrsgJ4XfH/LepfUEsDBBQAAAAIAIdO4kBnb3kVKQIAADUEAAAOAAAAZHJzL2Uyb0RvYy54bWyt&#10;U0tu2zAQ3RfoHQjua9nyp4lgOUhjpCiQfoC0B6ApyiJKcliStpQeoLlBV91033P5HB1SimOkmyyq&#10;hTDkzLyZ92a4vOi0InvhvART0sloTIkwHCpptiX98vn61RklPjBTMQVGlPROeHqxevli2dpC5NCA&#10;qoQjCGJ80dqSNiHYIss8b4RmfgRWGHTW4DQLeHTbrHKsRXStsnw8XmQtuMo64MJ7vF33TjoguucA&#10;Ql1LLtbAd1qY0KM6oVhASr6R1tNV6rauBQ8f69qLQFRJkWlIfyyC9ib+s9WSFVvHbCP50AJ7TgtP&#10;OGkmDRY9Qq1ZYGTn5D9QWnIHHuow4qCznkhSBFlMxk+0uW2YFYkLSu3tUXT//2D5h/0nR2RV0ikl&#10;hmkc+OHn/eHXn8PvH2Qa5WmtLzDq1mJc6N5Ah0uTqHp7A/yrJwauGma24tI5aBvBKmxvEjOzk9Qe&#10;x0eQTfseKqzDdgESUFc7HbVDNQii42jujqMRXSAcL/N89jpfzCnh6Mtn4wXasQQrHrKt8+GtAE2i&#10;UVKHo0/obH/jQx/6EBKLGbiWSuE9K5QhbUnP5/k8JZx4tAy460rqkp6N4zfUVGZgFwn11EK36RAt&#10;Ut5AdYc8HfTbhm8NjQbcd0pa3LSS+m875gQl6p1Brc4ns1lczXSYLmIV4k49m1MPMxyhShoo6c2r&#10;0K/zzjq5bbBSPx0Dl6hvLRP1x66GvnGbknjD5sd1PT2nqMfXv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XzFG9oAAAANAQAADwAAAAAAAAABACAAAAAiAAAAZHJzL2Rvd25yZXYueG1sUEsBAhQA&#10;FAAAAAgAh07iQGdveRUpAgAANQQAAA4AAAAAAAAAAQAgAAAAKQEAAGRycy9lMm9Eb2MueG1sUEsF&#10;BgAAAAAGAAYAWQEAAMQFAAAAAA==&#10;">
                <v:fill on="f" focussize="0,0"/>
                <v:stroke on="f" miterlimit="8" joinstyle="miter"/>
                <v:imagedata o:title=""/>
                <o:lock v:ext="edit" aspectratio="f"/>
                <v:textbox inset="2.54mm,1mm,2.54mm,1mm">
                  <w:txbxContent>
                    <w:p w14:paraId="0AE3B1E9">
                      <w:pPr>
                        <w:widowControl/>
                        <w:ind w:right="105" w:rightChars="50"/>
                        <w:jc w:val="center"/>
                        <w:rPr>
                          <w:rFonts w:hint="default" w:ascii="仿宋_GB2312" w:hAnsi="仿宋" w:eastAsia="仿宋_GB2312"/>
                          <w:sz w:val="18"/>
                          <w:szCs w:val="20"/>
                          <w:lang w:val="en-US" w:eastAsia="zh-CN"/>
                        </w:rPr>
                      </w:pPr>
                      <w:r>
                        <w:rPr>
                          <w:rFonts w:hint="eastAsia" w:ascii="仿宋_GB2312" w:hAnsi="仿宋" w:eastAsia="仿宋_GB2312"/>
                          <w:sz w:val="18"/>
                          <w:szCs w:val="20"/>
                        </w:rPr>
                        <w:t>平安健康〔2025〕疾病保险</w:t>
                      </w:r>
                      <w:r>
                        <w:rPr>
                          <w:rFonts w:hint="eastAsia" w:ascii="仿宋_GB2312" w:hAnsi="仿宋" w:eastAsia="仿宋_GB2312"/>
                          <w:sz w:val="18"/>
                          <w:szCs w:val="20"/>
                          <w:highlight w:val="none"/>
                          <w:lang w:val="en-US" w:eastAsia="zh-CN"/>
                        </w:rPr>
                        <w:t>092</w:t>
                      </w:r>
                      <w:r>
                        <w:rPr>
                          <w:rFonts w:hint="eastAsia" w:ascii="仿宋_GB2312" w:hAnsi="仿宋" w:eastAsia="仿宋_GB2312"/>
                          <w:sz w:val="18"/>
                          <w:szCs w:val="20"/>
                          <w:lang w:val="en-US" w:eastAsia="zh-CN"/>
                        </w:rPr>
                        <w:t>号</w:t>
                      </w:r>
                    </w:p>
                    <w:p w14:paraId="1AC6B0DE">
                      <w:pPr>
                        <w:widowControl/>
                        <w:ind w:right="105" w:rightChars="50"/>
                        <w:jc w:val="center"/>
                        <w:rPr>
                          <w:rFonts w:ascii="仿宋_GB2312" w:hAnsi="仿宋" w:eastAsia="仿宋_GB2312"/>
                          <w:sz w:val="18"/>
                          <w:szCs w:val="20"/>
                        </w:rPr>
                      </w:pPr>
                      <w:r>
                        <w:rPr>
                          <w:rFonts w:hint="eastAsia" w:ascii="仿宋_GB2312" w:hAnsi="仿宋" w:eastAsia="仿宋_GB2312"/>
                          <w:sz w:val="18"/>
                          <w:szCs w:val="20"/>
                        </w:rPr>
                        <w:t>号</w:t>
                      </w:r>
                    </w:p>
                    <w:p w14:paraId="537BFAEE">
                      <w:pPr>
                        <w:rPr>
                          <w:sz w:val="20"/>
                        </w:rPr>
                      </w:pPr>
                    </w:p>
                  </w:txbxContent>
                </v:textbox>
              </v:shape>
            </w:pict>
          </mc:Fallback>
        </mc:AlternateContent>
      </w:r>
    </w:p>
    <w:p w14:paraId="637154F3">
      <w:pPr>
        <w:jc w:val="center"/>
        <w:rPr>
          <w:rFonts w:ascii="宋体" w:hAnsi="宋体"/>
          <w:em w:val="dot"/>
        </w:rPr>
      </w:pPr>
      <w:r>
        <mc:AlternateContent>
          <mc:Choice Requires="wps">
            <w:drawing>
              <wp:anchor distT="0" distB="0" distL="114300" distR="114300" simplePos="0" relativeHeight="251662336" behindDoc="0" locked="0" layoutInCell="1" allowOverlap="1">
                <wp:simplePos x="0" y="0"/>
                <wp:positionH relativeFrom="column">
                  <wp:posOffset>4625975</wp:posOffset>
                </wp:positionH>
                <wp:positionV relativeFrom="paragraph">
                  <wp:posOffset>1905</wp:posOffset>
                </wp:positionV>
                <wp:extent cx="1729105" cy="276225"/>
                <wp:effectExtent l="0" t="0" r="0" b="952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9105" cy="276225"/>
                        </a:xfrm>
                        <a:prstGeom prst="rect">
                          <a:avLst/>
                        </a:prstGeom>
                        <a:noFill/>
                        <a:ln w="9525">
                          <a:noFill/>
                          <a:miter lim="800000"/>
                        </a:ln>
                      </wps:spPr>
                      <wps:txbx>
                        <w:txbxContent>
                          <w:p w14:paraId="4B67408E">
                            <w:pPr>
                              <w:jc w:val="center"/>
                              <w:rPr>
                                <w:sz w:val="18"/>
                                <w:szCs w:val="20"/>
                              </w:rPr>
                            </w:pPr>
                            <w:r>
                              <w:rPr>
                                <w:rFonts w:hint="eastAsia" w:ascii="仿宋_GB2312" w:eastAsia="仿宋_GB2312"/>
                                <w:sz w:val="18"/>
                                <w:szCs w:val="20"/>
                              </w:rPr>
                              <w:t>请扫描以查询验证条款</w:t>
                            </w:r>
                          </w:p>
                        </w:txbxContent>
                      </wps:txbx>
                      <wps:bodyPr rot="0" vert="horz" wrap="square" lIns="91440" tIns="36000" rIns="91440" bIns="36000" anchor="t" anchorCtr="0" upright="1">
                        <a:noAutofit/>
                      </wps:bodyPr>
                    </wps:wsp>
                  </a:graphicData>
                </a:graphic>
              </wp:anchor>
            </w:drawing>
          </mc:Choice>
          <mc:Fallback>
            <w:pict>
              <v:shape id="_x0000_s1026" o:spid="_x0000_s1026" o:spt="202" type="#_x0000_t202" style="position:absolute;left:0pt;margin-left:364.25pt;margin-top:0.15pt;height:21.75pt;width:136.15pt;z-index:251662336;mso-width-relative:page;mso-height-relative:page;" filled="f" stroked="f" coordsize="21600,21600" o:gfxdata="UEsDBAoAAAAAAIdO4kAAAAAAAAAAAAAAAAAEAAAAZHJzL1BLAwQUAAAACACHTuJA67T+SNYAAAAI&#10;AQAADwAAAGRycy9kb3ducmV2LnhtbE2PzU7DMBCE70i8g7VI3KjdPwghmx6QkHrgQH8eYJsscUS8&#10;DrHbBp4e90SPoxnNfFOsRtepEw+h9YIwnRhQLJWvW2kQ9ru3hwxUiCQ1dV4Y4YcDrMrbm4Ly2p9l&#10;w6dtbFQqkZATgo2xz7UOlWVHYeJ7luR9+sFRTHJodD3QOZW7Ts+MedSOWkkLlnp+tVx9bY8OYf3+&#10;sR5t5ff8vPjeWOt/KS53iPd3U/MCKvIY/8NwwU/oUCamgz9KHVSH8DTLlimKMAd1sY0x6coBYTHP&#10;QJeFvj5Q/gFQSwMEFAAAAAgAh07iQAh+RYopAgAANwQAAA4AAABkcnMvZTJvRG9jLnhtbK1TS27b&#10;MBDdF+gdCO5ryU7sxILlII2RokD6AdIegKYoiyjJYUnaUnqA5gZdddN9z+VzdEgpruFusqgWAskZ&#10;vpn35nFx1WlFdsJ5Caak41FOiTAcKmk2Jf386fbVJSU+MFMxBUaU9EF4erV8+WLR2kJMoAFVCUcQ&#10;xPiitSVtQrBFlnneCM38CKwwGKzBaRZw6zZZ5ViL6FplkzyfZS24yjrgwns8XfVBOiC65wBCXUsu&#10;VsC3WpjQozqhWEBKvpHW02Xqtq4FDx/q2otAVEmRaUh/LILrdfxnywUrNo7ZRvKhBfacFk44aSYN&#10;Fj1ArVhgZOvkP1Bacgce6jDioLOeSFIEWYzzE23uG2ZF4oJSe3sQ3f8/WP5+99ERWaETzigxTOPE&#10;9z8e9z9/7399J3iGArXWF5h3bzEzdK+hw+RE1ts74F88MXDTMLMR185B2whWYYPjeDM7utrj+Aiy&#10;bt9BhYXYNkAC6mqno3qoB0F0HM7DYTiiC4THkheT+TifUsIxNrmYTSbTVIIVT7et8+GNAE3ioqQO&#10;h5/Q2e7Oh9gNK55SYjEDt1KpZABlSFvS+RQhTyJaBnS7krqkl3n8hprKDOwioZ5a6NbdoNYaqgfk&#10;6aD3G742XDTgvlHSotdK6r9umROUqLcGtZqPz8+jOdPmbBarEHccWR9HmOEIVdJASb+8Cb2ht9bJ&#10;TYOV+ukYuEZ9a5mox0H0XQ19o5+SIoP3o2GP9ynr73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tP5I1gAAAAgBAAAPAAAAAAAAAAEAIAAAACIAAABkcnMvZG93bnJldi54bWxQSwECFAAUAAAA&#10;CACHTuJACH5FiikCAAA3BAAADgAAAAAAAAABACAAAAAlAQAAZHJzL2Uyb0RvYy54bWxQSwUGAAAA&#10;AAYABgBZAQAAwAUAAAAA&#10;">
                <v:fill on="f" focussize="0,0"/>
                <v:stroke on="f" miterlimit="8" joinstyle="miter"/>
                <v:imagedata o:title=""/>
                <o:lock v:ext="edit" aspectratio="f"/>
                <v:textbox inset="2.54mm,1mm,2.54mm,1mm">
                  <w:txbxContent>
                    <w:p w14:paraId="4B67408E">
                      <w:pPr>
                        <w:jc w:val="center"/>
                        <w:rPr>
                          <w:sz w:val="18"/>
                          <w:szCs w:val="20"/>
                        </w:rPr>
                      </w:pPr>
                      <w:r>
                        <w:rPr>
                          <w:rFonts w:hint="eastAsia" w:ascii="仿宋_GB2312" w:eastAsia="仿宋_GB2312"/>
                          <w:sz w:val="18"/>
                          <w:szCs w:val="20"/>
                        </w:rPr>
                        <w:t>请扫描以查询验证条款</w:t>
                      </w:r>
                    </w:p>
                  </w:txbxContent>
                </v:textbox>
              </v:shape>
            </w:pict>
          </mc:Fallback>
        </mc:AlternateContent>
      </w:r>
      <w:r>
        <w:rPr>
          <w:rFonts w:ascii="华文中宋" w:hAnsi="华文中宋" w:eastAsia="华文中宋"/>
          <w:b/>
          <w:sz w:val="32"/>
        </w:rPr>
        <w:t>阅</w:t>
      </w:r>
      <w:r>
        <w:rPr>
          <w:rFonts w:hint="eastAsia" w:ascii="华文中宋" w:hAnsi="华文中宋" w:eastAsia="华文中宋"/>
          <w:b/>
          <w:sz w:val="32"/>
        </w:rPr>
        <w:t xml:space="preserve"> </w:t>
      </w:r>
      <w:r>
        <w:rPr>
          <w:rFonts w:ascii="华文中宋" w:hAnsi="华文中宋" w:eastAsia="华文中宋"/>
          <w:b/>
          <w:sz w:val="32"/>
        </w:rPr>
        <w:t>读</w:t>
      </w:r>
      <w:r>
        <w:rPr>
          <w:rFonts w:hint="eastAsia" w:ascii="华文中宋" w:hAnsi="华文中宋" w:eastAsia="华文中宋"/>
          <w:b/>
          <w:sz w:val="32"/>
        </w:rPr>
        <w:t xml:space="preserve"> </w:t>
      </w:r>
      <w:r>
        <w:rPr>
          <w:rFonts w:ascii="华文中宋" w:hAnsi="华文中宋" w:eastAsia="华文中宋"/>
          <w:b/>
          <w:sz w:val="32"/>
        </w:rPr>
        <w:t>指</w:t>
      </w:r>
      <w:r>
        <w:rPr>
          <w:rFonts w:hint="eastAsia" w:ascii="华文中宋" w:hAnsi="华文中宋" w:eastAsia="华文中宋"/>
          <w:b/>
          <w:sz w:val="32"/>
        </w:rPr>
        <w:t xml:space="preserve"> </w:t>
      </w:r>
      <w:r>
        <w:rPr>
          <w:rFonts w:ascii="华文中宋" w:hAnsi="华文中宋" w:eastAsia="华文中宋"/>
          <w:b/>
          <w:sz w:val="32"/>
        </w:rPr>
        <w:t>引</w:t>
      </w:r>
    </w:p>
    <w:p w14:paraId="0DD4D84E">
      <w:pPr>
        <w:jc w:val="center"/>
        <w:rPr>
          <w:rFonts w:ascii="宋体" w:hAnsi="宋体"/>
        </w:rPr>
      </w:pPr>
      <w:r>
        <w:rPr>
          <w:rFonts w:ascii="宋体" w:hAnsi="宋体"/>
          <w:em w:val="dot"/>
        </w:rPr>
        <w:t>本阅读指引有助于您理解条款</w:t>
      </w:r>
      <w:r>
        <w:rPr>
          <w:rFonts w:hint="eastAsia"/>
        </w:rPr>
        <w:t>，</w:t>
      </w:r>
      <w:r>
        <w:rPr>
          <w:rFonts w:hint="eastAsia"/>
          <w:em w:val="dot"/>
        </w:rPr>
        <w:t>对</w:t>
      </w:r>
      <w:r>
        <w:rPr>
          <w:rFonts w:hint="eastAsia"/>
          <w:b/>
          <w:bCs/>
          <w:em w:val="dot"/>
        </w:rPr>
        <w:t>“</w:t>
      </w:r>
      <w:r>
        <w:rPr>
          <w:rFonts w:hint="eastAsia"/>
          <w:b/>
          <w:bCs/>
          <w:em w:val="dot"/>
          <w:lang w:eastAsia="zh-CN"/>
        </w:rPr>
        <w:t>平安互联网康佑1.0特定疾病保险T款</w:t>
      </w:r>
      <w:r>
        <w:rPr>
          <w:rFonts w:hint="eastAsia"/>
          <w:em w:val="dot"/>
        </w:rPr>
        <w:t>”内容的解释以条款为准</w:t>
      </w:r>
      <w:r>
        <w:rPr>
          <w:rFonts w:hint="eastAsia"/>
        </w:rPr>
        <w:t>。</w:t>
      </w:r>
    </w:p>
    <w:tbl>
      <w:tblPr>
        <w:tblStyle w:val="15"/>
        <w:tblW w:w="0" w:type="auto"/>
        <w:jc w:val="center"/>
        <w:tblCellSpacing w:w="0" w:type="dxa"/>
        <w:tblBorders>
          <w:top w:val="dashDotStroked" w:color="auto" w:sz="24" w:space="0"/>
          <w:left w:val="dashDotStroked" w:color="auto" w:sz="24" w:space="0"/>
          <w:bottom w:val="dashDotStroked" w:color="auto" w:sz="24" w:space="0"/>
          <w:right w:val="dashDotStroked" w:color="auto" w:sz="24" w:space="0"/>
          <w:insideH w:val="none" w:color="auto" w:sz="0" w:space="0"/>
          <w:insideV w:val="none" w:color="auto" w:sz="0" w:space="0"/>
        </w:tblBorders>
        <w:tblLayout w:type="autofit"/>
        <w:tblCellMar>
          <w:top w:w="0" w:type="dxa"/>
          <w:left w:w="108" w:type="dxa"/>
          <w:bottom w:w="0" w:type="dxa"/>
          <w:right w:w="108" w:type="dxa"/>
        </w:tblCellMar>
      </w:tblPr>
      <w:tblGrid>
        <w:gridCol w:w="10020"/>
      </w:tblGrid>
      <w:tr w14:paraId="4E66026F">
        <w:tblPrEx>
          <w:tblBorders>
            <w:top w:val="dashDotStroked" w:color="auto" w:sz="24" w:space="0"/>
            <w:left w:val="dashDotStroked" w:color="auto" w:sz="24" w:space="0"/>
            <w:bottom w:val="dashDotStroked" w:color="auto" w:sz="24" w:space="0"/>
            <w:right w:val="dashDotStroked" w:color="auto" w:sz="24" w:space="0"/>
            <w:insideH w:val="none" w:color="auto" w:sz="0" w:space="0"/>
            <w:insideV w:val="none" w:color="auto" w:sz="0" w:space="0"/>
          </w:tblBorders>
          <w:tblCellMar>
            <w:top w:w="0" w:type="dxa"/>
            <w:left w:w="108" w:type="dxa"/>
            <w:bottom w:w="0" w:type="dxa"/>
            <w:right w:w="108" w:type="dxa"/>
          </w:tblCellMar>
        </w:tblPrEx>
        <w:trPr>
          <w:trHeight w:val="12062" w:hRule="atLeast"/>
          <w:tblCellSpacing w:w="0" w:type="dxa"/>
          <w:jc w:val="center"/>
        </w:trPr>
        <w:tc>
          <w:tcPr>
            <w:tcW w:w="10020" w:type="dxa"/>
          </w:tcPr>
          <w:p w14:paraId="397ADCA3">
            <w:pPr>
              <w:spacing w:line="300" w:lineRule="exact"/>
              <w:rPr>
                <w:rFonts w:ascii="宋体"/>
                <w:b/>
                <w:bCs/>
                <w:kern w:val="0"/>
                <w:szCs w:val="18"/>
                <w:lang w:val="zh-CN"/>
              </w:rPr>
            </w:pPr>
            <w:r>
              <w:rPr>
                <w:rFonts w:ascii="Wingdings 2" w:hAnsi="Wingdings 2"/>
                <w:b/>
                <w:bCs/>
                <w:position w:val="-12"/>
                <w:sz w:val="52"/>
              </w:rPr>
              <w:t></w:t>
            </w:r>
            <w:r>
              <w:rPr>
                <w:rFonts w:hint="eastAsia" w:ascii="宋体"/>
                <w:b/>
                <w:bCs/>
                <w:kern w:val="0"/>
                <w:szCs w:val="18"/>
                <w:lang w:val="zh-CN"/>
              </w:rPr>
              <w:t>您拥有的重要权益</w:t>
            </w:r>
          </w:p>
          <w:p w14:paraId="396F2AD0">
            <w:pPr>
              <w:numPr>
                <w:ilvl w:val="0"/>
                <w:numId w:val="1"/>
              </w:numPr>
              <w:autoSpaceDE w:val="0"/>
              <w:autoSpaceDN w:val="0"/>
              <w:adjustRightInd w:val="0"/>
              <w:spacing w:line="300" w:lineRule="exact"/>
              <w:rPr>
                <w:rFonts w:eastAsia="仿宋_GB2312"/>
                <w:kern w:val="0"/>
                <w:szCs w:val="18"/>
                <w:lang w:val="zh-CN"/>
              </w:rPr>
            </w:pPr>
            <w:r>
              <w:rPr>
                <w:rFonts w:eastAsia="仿宋_GB2312"/>
                <w:kern w:val="0"/>
                <w:szCs w:val="18"/>
                <w:lang w:val="zh-CN"/>
              </w:rPr>
              <w:t>签收本主险合同后</w:t>
            </w:r>
            <w:r>
              <w:rPr>
                <w:rFonts w:hint="eastAsia" w:ascii="宋体" w:hAnsi="宋体"/>
                <w:kern w:val="0"/>
                <w:szCs w:val="18"/>
                <w:lang w:val="zh-CN"/>
              </w:rPr>
              <w:t>15</w:t>
            </w:r>
            <w:r>
              <w:rPr>
                <w:rFonts w:eastAsia="仿宋_GB2312"/>
                <w:kern w:val="0"/>
                <w:szCs w:val="18"/>
                <w:lang w:val="zh-CN"/>
              </w:rPr>
              <w:t>日内您可以要求全额退还保险费…………………………………………………</w:t>
            </w:r>
            <w:r>
              <w:rPr>
                <w:kern w:val="0"/>
                <w:szCs w:val="18"/>
                <w:lang w:val="zh-CN"/>
              </w:rPr>
              <w:t>1.5</w:t>
            </w:r>
          </w:p>
          <w:p w14:paraId="78CA3FFB">
            <w:pPr>
              <w:numPr>
                <w:ilvl w:val="0"/>
                <w:numId w:val="1"/>
              </w:numPr>
              <w:autoSpaceDE w:val="0"/>
              <w:autoSpaceDN w:val="0"/>
              <w:adjustRightInd w:val="0"/>
              <w:spacing w:line="300" w:lineRule="exact"/>
              <w:rPr>
                <w:rFonts w:eastAsia="仿宋_GB2312"/>
                <w:kern w:val="0"/>
                <w:szCs w:val="18"/>
                <w:lang w:val="zh-CN"/>
              </w:rPr>
            </w:pPr>
            <w:r>
              <w:rPr>
                <w:rFonts w:eastAsia="仿宋_GB2312"/>
                <w:kern w:val="0"/>
                <w:szCs w:val="18"/>
                <w:lang w:val="zh-CN"/>
              </w:rPr>
              <w:t>被保险人可以享受本主险合同提供的保障……………………………………………………………………</w:t>
            </w:r>
            <w:r>
              <w:rPr>
                <w:kern w:val="0"/>
                <w:szCs w:val="18"/>
                <w:lang w:val="zh-CN"/>
              </w:rPr>
              <w:t>2.2</w:t>
            </w:r>
          </w:p>
          <w:p w14:paraId="020578E6">
            <w:pPr>
              <w:numPr>
                <w:ilvl w:val="0"/>
                <w:numId w:val="1"/>
              </w:numPr>
              <w:autoSpaceDE w:val="0"/>
              <w:autoSpaceDN w:val="0"/>
              <w:adjustRightInd w:val="0"/>
              <w:spacing w:line="300" w:lineRule="exact"/>
              <w:rPr>
                <w:rFonts w:eastAsia="仿宋_GB2312"/>
                <w:kern w:val="0"/>
                <w:szCs w:val="18"/>
                <w:lang w:val="zh-CN"/>
              </w:rPr>
            </w:pPr>
            <w:r>
              <w:rPr>
                <w:rFonts w:eastAsia="仿宋_GB2312"/>
                <w:kern w:val="0"/>
                <w:szCs w:val="18"/>
                <w:lang w:val="zh-CN"/>
              </w:rPr>
              <w:t>您有退保的权利………………………………………………………………………………………………………………</w:t>
            </w:r>
            <w:r>
              <w:rPr>
                <w:rFonts w:hint="eastAsia" w:eastAsia="仿宋_GB2312"/>
                <w:kern w:val="0"/>
                <w:szCs w:val="18"/>
                <w:lang w:val="en-US" w:eastAsia="zh-CN"/>
              </w:rPr>
              <w:t>6</w:t>
            </w:r>
            <w:r>
              <w:rPr>
                <w:rFonts w:hint="eastAsia" w:eastAsia="仿宋_GB2312"/>
                <w:kern w:val="0"/>
                <w:szCs w:val="18"/>
                <w:lang w:val="zh-CN"/>
              </w:rPr>
              <w:t>.</w:t>
            </w:r>
            <w:r>
              <w:rPr>
                <w:rFonts w:eastAsia="仿宋_GB2312"/>
                <w:kern w:val="0"/>
                <w:szCs w:val="18"/>
                <w:lang w:val="zh-CN"/>
              </w:rPr>
              <w:t>1</w:t>
            </w:r>
          </w:p>
          <w:p w14:paraId="26FBB4A5">
            <w:pPr>
              <w:autoSpaceDE w:val="0"/>
              <w:autoSpaceDN w:val="0"/>
              <w:adjustRightInd w:val="0"/>
              <w:spacing w:line="300" w:lineRule="exact"/>
              <w:jc w:val="left"/>
              <w:rPr>
                <w:b/>
                <w:bCs/>
                <w:kern w:val="0"/>
                <w:szCs w:val="18"/>
                <w:lang w:val="zh-CN"/>
              </w:rPr>
            </w:pPr>
            <w:r>
              <w:rPr>
                <w:rFonts w:ascii="Wingdings 2" w:hAnsi="Wingdings 2"/>
                <w:b/>
                <w:bCs/>
                <w:position w:val="-12"/>
                <w:sz w:val="52"/>
              </w:rPr>
              <w:t></w:t>
            </w:r>
            <w:r>
              <w:rPr>
                <w:b/>
                <w:bCs/>
                <w:kern w:val="0"/>
                <w:szCs w:val="18"/>
                <w:lang w:val="zh-CN"/>
              </w:rPr>
              <w:t>您应当特别注意的事项</w:t>
            </w:r>
          </w:p>
          <w:p w14:paraId="214DF46A">
            <w:pPr>
              <w:numPr>
                <w:ilvl w:val="0"/>
                <w:numId w:val="1"/>
              </w:numPr>
              <w:autoSpaceDE w:val="0"/>
              <w:autoSpaceDN w:val="0"/>
              <w:adjustRightInd w:val="0"/>
              <w:spacing w:line="300" w:lineRule="exact"/>
              <w:rPr>
                <w:rFonts w:eastAsia="仿宋_GB2312"/>
                <w:b/>
                <w:bCs/>
                <w:kern w:val="0"/>
                <w:szCs w:val="18"/>
                <w:shd w:val="clear" w:color="FFFFFF" w:fill="D9D9D9"/>
                <w:lang w:val="zh-CN"/>
              </w:rPr>
            </w:pPr>
            <w:r>
              <w:rPr>
                <w:rFonts w:eastAsia="仿宋_GB2312"/>
                <w:b/>
                <w:bCs/>
                <w:kern w:val="0"/>
                <w:szCs w:val="18"/>
                <w:shd w:val="clear" w:color="FFFFFF" w:fill="D9D9D9"/>
                <w:lang w:val="zh-CN"/>
              </w:rPr>
              <w:t>我们对</w:t>
            </w:r>
            <w:r>
              <w:rPr>
                <w:rFonts w:hint="eastAsia" w:eastAsia="仿宋_GB2312"/>
                <w:b/>
                <w:bCs/>
                <w:kern w:val="0"/>
                <w:szCs w:val="18"/>
                <w:shd w:val="clear" w:color="FFFFFF" w:fill="D9D9D9"/>
              </w:rPr>
              <w:t>需要您仔细阅读</w:t>
            </w:r>
            <w:r>
              <w:rPr>
                <w:rFonts w:eastAsia="仿宋_GB2312"/>
                <w:b/>
                <w:bCs/>
                <w:kern w:val="0"/>
                <w:szCs w:val="18"/>
                <w:shd w:val="clear" w:color="FFFFFF" w:fill="D9D9D9"/>
                <w:lang w:val="zh-CN"/>
              </w:rPr>
              <w:t>的条款作了特别提示，详见条款正文中背景突出显示的内容</w:t>
            </w:r>
          </w:p>
          <w:p w14:paraId="46A64227">
            <w:pPr>
              <w:autoSpaceDE w:val="0"/>
              <w:autoSpaceDN w:val="0"/>
              <w:adjustRightInd w:val="0"/>
              <w:spacing w:line="300" w:lineRule="exact"/>
              <w:ind w:left="972" w:leftChars="463" w:firstLine="420" w:firstLineChars="200"/>
              <w:rPr>
                <w:rFonts w:eastAsia="仿宋_GB2312"/>
                <w:kern w:val="0"/>
                <w:szCs w:val="18"/>
                <w:lang w:val="zh-CN"/>
              </w:rPr>
            </w:pPr>
            <w:r>
              <w:rPr>
                <w:rFonts w:eastAsia="仿宋_GB2312"/>
                <w:kern w:val="0"/>
                <w:szCs w:val="18"/>
                <w:lang w:val="zh-CN"/>
              </w:rPr>
              <w:t>…………………………………………………………………</w:t>
            </w:r>
            <w:r>
              <w:rPr>
                <w:kern w:val="0"/>
                <w:szCs w:val="18"/>
                <w:lang w:val="zh-CN"/>
              </w:rPr>
              <w:t>2.2</w:t>
            </w:r>
            <w:r>
              <w:rPr>
                <w:rFonts w:hint="eastAsia"/>
                <w:kern w:val="0"/>
                <w:szCs w:val="18"/>
                <w:lang w:val="zh-CN"/>
              </w:rPr>
              <w:t>、</w:t>
            </w:r>
            <w:r>
              <w:rPr>
                <w:kern w:val="0"/>
                <w:szCs w:val="18"/>
                <w:lang w:val="zh-CN"/>
              </w:rPr>
              <w:t>3.1</w:t>
            </w:r>
            <w:r>
              <w:rPr>
                <w:rFonts w:hAnsi="宋体"/>
                <w:kern w:val="0"/>
                <w:szCs w:val="18"/>
                <w:lang w:val="zh-CN"/>
              </w:rPr>
              <w:t>、</w:t>
            </w:r>
            <w:r>
              <w:rPr>
                <w:kern w:val="0"/>
                <w:szCs w:val="18"/>
                <w:lang w:val="zh-CN"/>
              </w:rPr>
              <w:t>3.2</w:t>
            </w:r>
            <w:r>
              <w:rPr>
                <w:rFonts w:hAnsi="宋体"/>
                <w:kern w:val="0"/>
                <w:szCs w:val="18"/>
                <w:lang w:val="zh-CN"/>
              </w:rPr>
              <w:t>、</w:t>
            </w:r>
            <w:r>
              <w:rPr>
                <w:rFonts w:hint="eastAsia" w:hAnsi="宋体"/>
                <w:kern w:val="0"/>
                <w:szCs w:val="18"/>
                <w:lang w:val="en-US" w:eastAsia="zh-CN"/>
              </w:rPr>
              <w:t>4.3、5.2、7.1、</w:t>
            </w:r>
            <w:r>
              <w:rPr>
                <w:rFonts w:hAnsi="宋体"/>
                <w:kern w:val="0"/>
                <w:szCs w:val="18"/>
                <w:lang w:val="zh-CN"/>
              </w:rPr>
              <w:t>7</w:t>
            </w:r>
            <w:r>
              <w:rPr>
                <w:rFonts w:hint="eastAsia" w:hAnsi="宋体"/>
                <w:kern w:val="0"/>
                <w:szCs w:val="18"/>
                <w:lang w:val="zh-CN"/>
              </w:rPr>
              <w:t>.2、</w:t>
            </w:r>
            <w:r>
              <w:rPr>
                <w:rFonts w:hint="eastAsia" w:hAnsi="宋体"/>
                <w:kern w:val="0"/>
                <w:szCs w:val="18"/>
                <w:lang w:val="en-US" w:eastAsia="zh-CN"/>
              </w:rPr>
              <w:t>7.4、</w:t>
            </w:r>
            <w:r>
              <w:rPr>
                <w:rFonts w:hint="eastAsia" w:eastAsia="仿宋_GB2312"/>
                <w:kern w:val="0"/>
                <w:szCs w:val="18"/>
                <w:lang w:val="zh-CN"/>
              </w:rPr>
              <w:t>脚注</w:t>
            </w:r>
          </w:p>
          <w:p w14:paraId="73449C1F">
            <w:pPr>
              <w:numPr>
                <w:ilvl w:val="0"/>
                <w:numId w:val="1"/>
              </w:numPr>
              <w:autoSpaceDE w:val="0"/>
              <w:autoSpaceDN w:val="0"/>
              <w:adjustRightInd w:val="0"/>
              <w:spacing w:line="300" w:lineRule="exact"/>
              <w:rPr>
                <w:rFonts w:eastAsia="仿宋_GB2312"/>
                <w:kern w:val="0"/>
                <w:szCs w:val="18"/>
                <w:lang w:val="zh-CN"/>
              </w:rPr>
            </w:pPr>
            <w:r>
              <w:rPr>
                <w:rFonts w:eastAsia="仿宋_GB2312"/>
                <w:kern w:val="0"/>
                <w:szCs w:val="18"/>
                <w:lang w:val="zh-CN"/>
              </w:rPr>
              <w:t>退保会给您造成一定的损失，请您慎重决策</w:t>
            </w:r>
            <w:r>
              <w:rPr>
                <w:rFonts w:hint="eastAsia" w:eastAsia="仿宋_GB2312"/>
                <w:kern w:val="0"/>
                <w:szCs w:val="18"/>
                <w:lang w:val="zh-CN"/>
              </w:rPr>
              <w:t xml:space="preserve"> </w:t>
            </w:r>
            <w:r>
              <w:rPr>
                <w:rFonts w:eastAsia="仿宋_GB2312"/>
                <w:kern w:val="0"/>
                <w:szCs w:val="18"/>
                <w:lang w:val="zh-CN"/>
              </w:rPr>
              <w:t>………………………………………………………………</w:t>
            </w:r>
            <w:r>
              <w:rPr>
                <w:rFonts w:hint="eastAsia" w:eastAsia="仿宋_GB2312"/>
                <w:kern w:val="0"/>
                <w:szCs w:val="18"/>
                <w:lang w:val="en-US" w:eastAsia="zh-CN"/>
              </w:rPr>
              <w:t>6</w:t>
            </w:r>
            <w:r>
              <w:rPr>
                <w:kern w:val="0"/>
                <w:szCs w:val="18"/>
                <w:lang w:val="zh-CN"/>
              </w:rPr>
              <w:t>.1</w:t>
            </w:r>
          </w:p>
          <w:p w14:paraId="2A2635D1">
            <w:pPr>
              <w:numPr>
                <w:ilvl w:val="0"/>
                <w:numId w:val="1"/>
              </w:numPr>
              <w:autoSpaceDE w:val="0"/>
              <w:autoSpaceDN w:val="0"/>
              <w:adjustRightInd w:val="0"/>
              <w:spacing w:line="300" w:lineRule="exact"/>
              <w:jc w:val="left"/>
              <w:rPr>
                <w:rFonts w:eastAsia="仿宋_GB2312"/>
                <w:kern w:val="0"/>
                <w:szCs w:val="18"/>
                <w:lang w:val="zh-CN"/>
              </w:rPr>
            </w:pPr>
            <w:r>
              <w:rPr>
                <w:rFonts w:eastAsia="仿宋_GB2312"/>
                <w:kern w:val="0"/>
                <w:szCs w:val="18"/>
                <w:lang w:val="zh-CN"/>
              </w:rPr>
              <w:t>您有及时向我们通知保险事故的责任……………………………………………………………………………</w:t>
            </w:r>
            <w:r>
              <w:rPr>
                <w:rFonts w:hint="eastAsia" w:eastAsia="仿宋_GB2312"/>
                <w:kern w:val="0"/>
                <w:szCs w:val="18"/>
                <w:lang w:val="en-US" w:eastAsia="zh-CN"/>
              </w:rPr>
              <w:t>5</w:t>
            </w:r>
            <w:r>
              <w:rPr>
                <w:kern w:val="0"/>
                <w:szCs w:val="18"/>
                <w:lang w:val="zh-CN"/>
              </w:rPr>
              <w:t>.2</w:t>
            </w:r>
          </w:p>
          <w:p w14:paraId="16EB63C7">
            <w:pPr>
              <w:numPr>
                <w:ilvl w:val="0"/>
                <w:numId w:val="1"/>
              </w:numPr>
              <w:autoSpaceDE w:val="0"/>
              <w:autoSpaceDN w:val="0"/>
              <w:adjustRightInd w:val="0"/>
              <w:spacing w:line="300" w:lineRule="exact"/>
              <w:jc w:val="left"/>
              <w:rPr>
                <w:rFonts w:eastAsia="仿宋_GB2312"/>
                <w:kern w:val="0"/>
                <w:szCs w:val="18"/>
                <w:lang w:val="zh-CN"/>
              </w:rPr>
            </w:pPr>
            <w:r>
              <w:rPr>
                <w:rFonts w:eastAsia="仿宋_GB2312"/>
                <w:kern w:val="0"/>
                <w:szCs w:val="18"/>
                <w:lang w:val="zh-CN"/>
              </w:rPr>
              <w:t>我们对一些重要术语进行了解释，并作了显著标识，请您注意……………</w:t>
            </w:r>
            <w:r>
              <w:rPr>
                <w:kern w:val="0"/>
                <w:szCs w:val="18"/>
                <w:lang w:val="zh-CN"/>
              </w:rPr>
              <w:t>……</w:t>
            </w:r>
            <w:r>
              <w:rPr>
                <w:rFonts w:eastAsia="仿宋_GB2312"/>
                <w:kern w:val="0"/>
                <w:szCs w:val="18"/>
                <w:lang w:val="zh-CN"/>
              </w:rPr>
              <w:t>……………</w:t>
            </w:r>
            <w:r>
              <w:rPr>
                <w:rFonts w:hint="eastAsia" w:eastAsia="仿宋_GB2312"/>
                <w:kern w:val="0"/>
                <w:szCs w:val="18"/>
                <w:lang w:val="zh-CN"/>
              </w:rPr>
              <w:t>脚注</w:t>
            </w:r>
          </w:p>
          <w:p w14:paraId="5F5F7C64">
            <w:pPr>
              <w:autoSpaceDE w:val="0"/>
              <w:autoSpaceDN w:val="0"/>
              <w:adjustRightInd w:val="0"/>
              <w:spacing w:line="300" w:lineRule="exact"/>
              <w:rPr>
                <w:rFonts w:asciiTheme="majorEastAsia" w:hAnsiTheme="majorEastAsia" w:eastAsiaTheme="majorEastAsia"/>
                <w:kern w:val="0"/>
                <w:szCs w:val="18"/>
                <w:lang w:val="zh-CN"/>
              </w:rPr>
            </w:pPr>
            <w:r>
              <w:rPr>
                <w:rFonts w:ascii="Wingdings 2" w:hAnsi="Wingdings 2"/>
                <w:b/>
                <w:bCs/>
                <w:position w:val="-12"/>
                <w:sz w:val="52"/>
              </w:rPr>
              <w:t></w:t>
            </w:r>
            <w:r>
              <w:rPr>
                <w:rFonts w:asciiTheme="majorEastAsia" w:hAnsiTheme="majorEastAsia" w:eastAsiaTheme="majorEastAsia"/>
                <w:b/>
                <w:bCs/>
                <w:kern w:val="0"/>
                <w:szCs w:val="18"/>
                <w:lang w:val="zh-CN"/>
              </w:rPr>
              <w:t>条款是保险合同的重要内容，为充分保障您的权益，请您仔细阅读本条款</w:t>
            </w:r>
            <w:r>
              <w:rPr>
                <w:rFonts w:hint="eastAsia" w:asciiTheme="majorEastAsia" w:hAnsiTheme="majorEastAsia" w:eastAsiaTheme="majorEastAsia"/>
                <w:b/>
                <w:bCs/>
                <w:kern w:val="0"/>
                <w:szCs w:val="18"/>
                <w:lang w:val="zh-CN"/>
              </w:rPr>
              <w:t>。条款目录如下：</w:t>
            </w:r>
          </w:p>
          <w:p w14:paraId="6D3403E2">
            <w:pPr>
              <w:autoSpaceDE w:val="0"/>
              <w:autoSpaceDN w:val="0"/>
              <w:adjustRightInd w:val="0"/>
              <w:jc w:val="left"/>
              <w:rPr>
                <w:rFonts w:ascii="仿宋_GB2312" w:hAnsi="宋体" w:eastAsia="仿宋_GB2312"/>
                <w:kern w:val="0"/>
                <w:szCs w:val="18"/>
                <w:lang w:val="zh-CN"/>
              </w:rPr>
            </w:pPr>
            <w:r>
              <w:rPr>
                <w:rFonts w:hint="eastAsia" w:ascii="Wingdings 2" w:hAnsi="Wingdings 2"/>
                <w:b/>
                <w:bCs/>
                <w:position w:val="-12"/>
                <w:sz w:val="20"/>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41910</wp:posOffset>
                      </wp:positionV>
                      <wp:extent cx="5665470" cy="4994275"/>
                      <wp:effectExtent l="0" t="0" r="11430" b="158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665470" cy="4994413"/>
                              </a:xfrm>
                              <a:prstGeom prst="rect">
                                <a:avLst/>
                              </a:prstGeom>
                              <a:solidFill>
                                <a:srgbClr val="FFFFFF"/>
                              </a:solidFill>
                              <a:ln w="9525" cap="rnd">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5pt;margin-top:3.3pt;height:393.25pt;width:446.1pt;z-index:251659264;mso-width-relative:page;mso-height-relative:page;" fillcolor="#FFFFFF" filled="t" stroked="t" coordsize="21600,21600" o:gfxdata="UEsDBAoAAAAAAIdO4kAAAAAAAAAAAAAAAAAEAAAAZHJzL1BLAwQUAAAACACHTuJA7YZSvdkAAAAI&#10;AQAADwAAAGRycy9kb3ducmV2LnhtbE2PT0vDQBTE74LfYXmCF7GbNJiYmJceBIvgxUbBHrfZlz80&#10;+zZkt2n99q4nPQ4zzPym3FzMKBaa3WAZIV5FIIgbqwfuED4/Xu4fQTivWKvRMiF8k4NNdX1VqkLb&#10;M+9oqX0nQgm7QiH03k+FlK7pySi3shNx8Fo7G+WDnDupZ3UO5WaU6yhKpVEDh4VeTfTcU3OsTwah&#10;fk32+3an5PK+/Tpuh/btziUZ4u1NHD2B8HTxf2H4xQ/oUAWmgz2xdmJESB6ykERIUxDBztdZDuKA&#10;kOVJDLIq5f8D1Q9QSwMEFAAAAAgAh07iQD7YxGdHAgAAlAQAAA4AAABkcnMvZTJvRG9jLnhtbK1U&#10;wW7bMAy9D9g/CLqvTjKnbYw6RdGgw4BuK9DtAxRZjoXJokYqcbKfGbBbP2KfM+w3Rstpl3Y79DAf&#10;DNGkHh8fSZ+db1snNgbJgi/l+GgkhfEaKutXpfz08erVqRQUla+UA29KuTMkz+cvX5x1oTATaMBV&#10;BgWDeCq6UMomxlBkGenGtIqOIBjPzhqwVZFNXGUVqo7RW5dNRqPjrAOsAoI2RPx1MTjlHhGfAwh1&#10;bbVZgF63xscBFY1TkUuixgaS88S2ro2OH+qaTBSulFxpTG9Owudl/87mZ6pYoQqN1XsK6jkUntTU&#10;Kus56QPUQkUl1mj/gmqtRiCo45GGNhsKSYpwFePRE21uGxVMqoWlpvAgOv0/WP1+c4PCVjwJUnjV&#10;csN/fbv7+eO7GPfadIEKDrkNN9hXR+Ea9GcSHi4b5VfmAhG6xqiKGaX47NGF3iC+KpbdO6gYWq0j&#10;JJm2NbY9IAsgtqkbu4dumG0Umj9Oj4+n+Qk3SrMvn83yfPy655Sp4v56QIpvDLSiP5QSud0JXm2u&#10;KQ6h9yGJPjhbXVnnkoGr5aVDsVE8Glfp2aPTYZjzoivlbDqZMhHF846+SjkeRdEh2Cg9/wLrySwU&#10;NUNS2tECYh+nitZG3ipn21KeHl53ngu+13HoxxKqHWuKMAwzrzIfGsCvUnQ8yKWkL2uFRgr31nNf&#10;ZuM87yc/Gfn0ZMIGHnqWhx7lNUOVMkoxHC/jsC3rgHbVcKZxqt7DBfeytknlnt/Aak+WhzX1ab9Y&#10;/TYc2inqz89k/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hlK92QAAAAgBAAAPAAAAAAAAAAEA&#10;IAAAACIAAABkcnMvZG93bnJldi54bWxQSwECFAAUAAAACACHTuJAPtjEZ0cCAACUBAAADgAAAAAA&#10;AAABACAAAAAoAQAAZHJzL2Uyb0RvYy54bWxQSwUGAAAAAAYABgBZAQAA4QUAAAAA&#10;">
                      <v:fill on="t" focussize="0,0"/>
                      <v:stroke color="#000000" miterlimit="8" joinstyle="miter" dashstyle="1 1" endcap="round"/>
                      <v:imagedata o:title=""/>
                      <o:lock v:ext="edit" aspectratio="f"/>
                    </v:rect>
                  </w:pict>
                </mc:Fallback>
              </mc:AlternateContent>
            </w:r>
            <w:r>
              <w:rPr>
                <w:rFonts w:hint="eastAsia" w:ascii="Wingdings 2" w:hAnsi="Wingdings 2"/>
                <w:b/>
                <w:bCs/>
                <w:position w:val="-12"/>
                <w:sz w:val="20"/>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36830</wp:posOffset>
                      </wp:positionV>
                      <wp:extent cx="2349500" cy="44926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49500" cy="4492487"/>
                              </a:xfrm>
                              <a:prstGeom prst="rect">
                                <a:avLst/>
                              </a:prstGeom>
                              <a:noFill/>
                              <a:ln>
                                <a:noFill/>
                              </a:ln>
                            </wps:spPr>
                            <wps:txbx>
                              <w:txbxContent>
                                <w:p w14:paraId="3694DA71">
                                  <w:pPr>
                                    <w:autoSpaceDE w:val="0"/>
                                    <w:autoSpaceDN w:val="0"/>
                                    <w:adjustRightInd w:val="0"/>
                                    <w:spacing w:line="280" w:lineRule="exact"/>
                                    <w:jc w:val="left"/>
                                    <w:rPr>
                                      <w:rFonts w:ascii="仿宋_GB2312" w:hAnsi="宋体" w:eastAsia="仿宋_GB2312"/>
                                      <w:b/>
                                      <w:bCs/>
                                      <w:kern w:val="0"/>
                                      <w:szCs w:val="18"/>
                                      <w:lang w:val="zh-CN"/>
                                    </w:rPr>
                                  </w:pPr>
                                  <w:r>
                                    <w:rPr>
                                      <w:rFonts w:ascii="宋体" w:hAnsi="宋体"/>
                                      <w:b/>
                                      <w:bCs/>
                                      <w:kern w:val="0"/>
                                      <w:szCs w:val="18"/>
                                      <w:lang w:val="zh-CN"/>
                                    </w:rPr>
                                    <w:t>1</w:t>
                                  </w:r>
                                  <w:r>
                                    <w:rPr>
                                      <w:rFonts w:hint="eastAsia" w:ascii="宋体" w:hAnsi="宋体"/>
                                      <w:b/>
                                      <w:bCs/>
                                      <w:kern w:val="0"/>
                                      <w:szCs w:val="18"/>
                                      <w:lang w:val="zh-CN"/>
                                    </w:rPr>
                                    <w:t>.</w:t>
                                  </w:r>
                                  <w:r>
                                    <w:rPr>
                                      <w:rFonts w:hint="eastAsia" w:ascii="仿宋_GB2312" w:hAnsi="宋体" w:eastAsia="仿宋_GB2312"/>
                                      <w:b/>
                                      <w:bCs/>
                                      <w:kern w:val="0"/>
                                      <w:szCs w:val="18"/>
                                      <w:lang w:val="zh-CN"/>
                                    </w:rPr>
                                    <w:t>您与我们的合同</w:t>
                                  </w:r>
                                </w:p>
                                <w:p w14:paraId="078CF426">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1.1</w:t>
                                  </w:r>
                                  <w:r>
                                    <w:rPr>
                                      <w:rFonts w:ascii="宋体" w:hAnsi="宋体"/>
                                      <w:kern w:val="0"/>
                                      <w:szCs w:val="18"/>
                                      <w:lang w:val="zh-CN"/>
                                    </w:rPr>
                                    <w:t xml:space="preserve"> </w:t>
                                  </w:r>
                                  <w:r>
                                    <w:rPr>
                                      <w:rFonts w:hint="eastAsia" w:ascii="仿宋_GB2312" w:hAnsi="宋体" w:eastAsia="仿宋_GB2312"/>
                                      <w:kern w:val="0"/>
                                      <w:szCs w:val="18"/>
                                      <w:lang w:val="zh-CN"/>
                                    </w:rPr>
                                    <w:t>合同构成</w:t>
                                  </w:r>
                                </w:p>
                                <w:p w14:paraId="457F1A24">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1.2</w:t>
                                  </w:r>
                                  <w:r>
                                    <w:rPr>
                                      <w:rFonts w:ascii="宋体" w:hAnsi="宋体"/>
                                      <w:kern w:val="0"/>
                                      <w:szCs w:val="18"/>
                                      <w:lang w:val="zh-CN"/>
                                    </w:rPr>
                                    <w:t xml:space="preserve"> </w:t>
                                  </w:r>
                                  <w:r>
                                    <w:rPr>
                                      <w:rFonts w:hint="eastAsia" w:ascii="仿宋_GB2312" w:hAnsi="宋体" w:eastAsia="仿宋_GB2312"/>
                                      <w:kern w:val="0"/>
                                      <w:szCs w:val="18"/>
                                      <w:lang w:val="zh-CN"/>
                                    </w:rPr>
                                    <w:t>合同成立与生效</w:t>
                                  </w:r>
                                </w:p>
                                <w:p w14:paraId="381AA3BB">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1.3</w:t>
                                  </w:r>
                                  <w:r>
                                    <w:rPr>
                                      <w:rFonts w:ascii="宋体" w:hAnsi="宋体"/>
                                      <w:kern w:val="0"/>
                                      <w:szCs w:val="18"/>
                                      <w:lang w:val="zh-CN"/>
                                    </w:rPr>
                                    <w:t xml:space="preserve"> </w:t>
                                  </w:r>
                                  <w:r>
                                    <w:rPr>
                                      <w:rFonts w:hint="eastAsia" w:ascii="仿宋_GB2312" w:hAnsi="宋体" w:eastAsia="仿宋_GB2312"/>
                                      <w:kern w:val="0"/>
                                      <w:szCs w:val="18"/>
                                      <w:lang w:val="zh-CN"/>
                                    </w:rPr>
                                    <w:t>保险对象</w:t>
                                  </w:r>
                                </w:p>
                                <w:p w14:paraId="71080FCD">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1.4</w:t>
                                  </w:r>
                                  <w:r>
                                    <w:rPr>
                                      <w:rFonts w:ascii="宋体" w:hAnsi="宋体"/>
                                      <w:kern w:val="0"/>
                                      <w:szCs w:val="18"/>
                                      <w:lang w:val="zh-CN"/>
                                    </w:rPr>
                                    <w:t xml:space="preserve"> </w:t>
                                  </w:r>
                                  <w:r>
                                    <w:rPr>
                                      <w:rFonts w:hint="eastAsia" w:ascii="仿宋_GB2312" w:hAnsi="宋体" w:eastAsia="仿宋_GB2312"/>
                                      <w:kern w:val="0"/>
                                      <w:szCs w:val="18"/>
                                      <w:lang w:val="zh-CN"/>
                                    </w:rPr>
                                    <w:t>投保年龄</w:t>
                                  </w:r>
                                </w:p>
                                <w:p w14:paraId="5D5327A1">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w:t>
                                  </w:r>
                                  <w:r>
                                    <w:rPr>
                                      <w:rFonts w:ascii="宋体" w:hAnsi="宋体"/>
                                      <w:kern w:val="0"/>
                                      <w:szCs w:val="18"/>
                                      <w:lang w:val="zh-CN"/>
                                    </w:rPr>
                                    <w:t xml:space="preserve">5 </w:t>
                                  </w:r>
                                  <w:r>
                                    <w:rPr>
                                      <w:rFonts w:hint="eastAsia" w:ascii="仿宋_GB2312" w:hAnsi="宋体" w:eastAsia="仿宋_GB2312"/>
                                      <w:kern w:val="0"/>
                                      <w:szCs w:val="18"/>
                                      <w:lang w:val="zh-CN"/>
                                    </w:rPr>
                                    <w:t>犹豫期</w:t>
                                  </w:r>
                                </w:p>
                                <w:p w14:paraId="5A242494">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w:t>
                                  </w:r>
                                  <w:r>
                                    <w:rPr>
                                      <w:rFonts w:ascii="宋体" w:hAnsi="宋体"/>
                                      <w:kern w:val="0"/>
                                      <w:szCs w:val="18"/>
                                      <w:lang w:val="zh-CN"/>
                                    </w:rPr>
                                    <w:t xml:space="preserve">6 </w:t>
                                  </w:r>
                                  <w:r>
                                    <w:rPr>
                                      <w:rFonts w:ascii="仿宋_GB2312" w:hAnsi="宋体" w:eastAsia="仿宋_GB2312"/>
                                      <w:kern w:val="0"/>
                                      <w:szCs w:val="18"/>
                                      <w:lang w:val="zh-CN"/>
                                    </w:rPr>
                                    <w:t>保险期间</w:t>
                                  </w:r>
                                </w:p>
                                <w:p w14:paraId="379C1A7B">
                                  <w:pPr>
                                    <w:autoSpaceDE w:val="0"/>
                                    <w:autoSpaceDN w:val="0"/>
                                    <w:adjustRightInd w:val="0"/>
                                    <w:spacing w:line="280" w:lineRule="exact"/>
                                    <w:jc w:val="left"/>
                                    <w:rPr>
                                      <w:rFonts w:ascii="宋体" w:hAnsi="宋体"/>
                                      <w:kern w:val="0"/>
                                      <w:szCs w:val="18"/>
                                      <w:lang w:val="zh-CN"/>
                                    </w:rPr>
                                  </w:pPr>
                                  <w:r>
                                    <w:rPr>
                                      <w:rFonts w:ascii="宋体" w:hAnsi="宋体"/>
                                      <w:b/>
                                      <w:bCs/>
                                      <w:kern w:val="0"/>
                                      <w:szCs w:val="18"/>
                                      <w:lang w:val="zh-CN"/>
                                    </w:rPr>
                                    <w:t>2</w:t>
                                  </w:r>
                                  <w:r>
                                    <w:rPr>
                                      <w:rFonts w:hint="eastAsia" w:ascii="宋体" w:hAnsi="宋体"/>
                                      <w:b/>
                                      <w:bCs/>
                                      <w:kern w:val="0"/>
                                      <w:szCs w:val="18"/>
                                      <w:lang w:val="zh-CN"/>
                                    </w:rPr>
                                    <w:t>.</w:t>
                                  </w:r>
                                  <w:r>
                                    <w:rPr>
                                      <w:rFonts w:hint="eastAsia" w:ascii="仿宋_GB2312" w:hAnsi="宋体" w:eastAsia="仿宋_GB2312"/>
                                      <w:b/>
                                      <w:bCs/>
                                      <w:kern w:val="0"/>
                                      <w:szCs w:val="18"/>
                                      <w:lang w:val="zh-CN"/>
                                    </w:rPr>
                                    <w:t>我们提供的保障</w:t>
                                  </w:r>
                                </w:p>
                                <w:p w14:paraId="7AB0BCEB">
                                  <w:pPr>
                                    <w:spacing w:line="280" w:lineRule="exact"/>
                                    <w:ind w:left="210" w:leftChars="100"/>
                                    <w:jc w:val="left"/>
                                    <w:rPr>
                                      <w:rFonts w:ascii="宋体" w:hAnsi="宋体"/>
                                      <w:kern w:val="0"/>
                                      <w:szCs w:val="18"/>
                                      <w:lang w:val="zh-CN"/>
                                    </w:rPr>
                                  </w:pPr>
                                  <w:r>
                                    <w:rPr>
                                      <w:rFonts w:hint="eastAsia" w:ascii="宋体" w:hAnsi="宋体"/>
                                      <w:kern w:val="0"/>
                                      <w:szCs w:val="18"/>
                                      <w:lang w:val="zh-CN"/>
                                    </w:rPr>
                                    <w:t>2.1</w:t>
                                  </w:r>
                                  <w:r>
                                    <w:rPr>
                                      <w:rFonts w:ascii="宋体" w:hAnsi="宋体"/>
                                      <w:kern w:val="0"/>
                                      <w:szCs w:val="18"/>
                                      <w:lang w:val="zh-CN"/>
                                    </w:rPr>
                                    <w:t xml:space="preserve"> </w:t>
                                  </w:r>
                                  <w:r>
                                    <w:rPr>
                                      <w:rFonts w:hint="eastAsia" w:ascii="仿宋_GB2312" w:hAnsi="宋体" w:eastAsia="仿宋_GB2312"/>
                                      <w:kern w:val="0"/>
                                      <w:szCs w:val="18"/>
                                      <w:lang w:val="zh-CN"/>
                                    </w:rPr>
                                    <w:t>基本保险</w:t>
                                  </w:r>
                                  <w:r>
                                    <w:rPr>
                                      <w:rFonts w:ascii="仿宋_GB2312" w:hAnsi="宋体" w:eastAsia="仿宋_GB2312"/>
                                      <w:kern w:val="0"/>
                                      <w:szCs w:val="18"/>
                                      <w:lang w:val="zh-CN"/>
                                    </w:rPr>
                                    <w:t>金额</w:t>
                                  </w:r>
                                </w:p>
                                <w:p w14:paraId="694C7436">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2.2</w:t>
                                  </w:r>
                                  <w:r>
                                    <w:rPr>
                                      <w:rFonts w:ascii="宋体" w:hAnsi="宋体"/>
                                      <w:kern w:val="0"/>
                                      <w:szCs w:val="18"/>
                                      <w:lang w:val="zh-CN"/>
                                    </w:rPr>
                                    <w:t xml:space="preserve"> </w:t>
                                  </w:r>
                                  <w:r>
                                    <w:rPr>
                                      <w:rFonts w:hint="eastAsia" w:ascii="仿宋_GB2312" w:hAnsi="宋体" w:eastAsia="仿宋_GB2312"/>
                                      <w:kern w:val="0"/>
                                      <w:szCs w:val="18"/>
                                      <w:lang w:val="zh-CN"/>
                                    </w:rPr>
                                    <w:t>保险责任</w:t>
                                  </w:r>
                                </w:p>
                                <w:p w14:paraId="35132ABD">
                                  <w:pPr>
                                    <w:spacing w:line="280" w:lineRule="exact"/>
                                    <w:jc w:val="left"/>
                                    <w:rPr>
                                      <w:rFonts w:ascii="仿宋_GB2312" w:hAnsi="宋体" w:eastAsia="仿宋_GB2312"/>
                                      <w:kern w:val="0"/>
                                      <w:szCs w:val="18"/>
                                    </w:rPr>
                                  </w:pPr>
                                  <w:r>
                                    <w:rPr>
                                      <w:rFonts w:ascii="宋体" w:hAnsi="宋体"/>
                                      <w:b/>
                                      <w:bCs/>
                                      <w:kern w:val="0"/>
                                      <w:szCs w:val="18"/>
                                      <w:lang w:val="zh-CN"/>
                                    </w:rPr>
                                    <w:t>3</w:t>
                                  </w:r>
                                  <w:r>
                                    <w:rPr>
                                      <w:rFonts w:hint="eastAsia" w:ascii="宋体" w:hAnsi="宋体"/>
                                      <w:b/>
                                      <w:bCs/>
                                      <w:kern w:val="0"/>
                                      <w:szCs w:val="18"/>
                                      <w:lang w:val="zh-CN"/>
                                    </w:rPr>
                                    <w:t>.</w:t>
                                  </w:r>
                                  <w:r>
                                    <w:rPr>
                                      <w:rFonts w:hint="eastAsia" w:ascii="仿宋_GB2312" w:hAnsi="宋体" w:eastAsia="仿宋_GB2312"/>
                                      <w:b/>
                                      <w:bCs/>
                                      <w:kern w:val="0"/>
                                      <w:szCs w:val="18"/>
                                      <w:lang w:val="zh-CN"/>
                                    </w:rPr>
                                    <w:t>责任免除</w:t>
                                  </w:r>
                                  <w:r>
                                    <w:rPr>
                                      <w:rFonts w:hint="eastAsia" w:ascii="仿宋_GB2312" w:hAnsi="宋体" w:eastAsia="仿宋_GB2312"/>
                                      <w:b/>
                                      <w:bCs/>
                                      <w:kern w:val="0"/>
                                      <w:szCs w:val="18"/>
                                    </w:rPr>
                                    <w:t>及其他</w:t>
                                  </w:r>
                                </w:p>
                                <w:p w14:paraId="3B5B5673">
                                  <w:pPr>
                                    <w:spacing w:line="280" w:lineRule="exact"/>
                                    <w:ind w:left="210" w:leftChars="100"/>
                                    <w:jc w:val="left"/>
                                    <w:rPr>
                                      <w:rFonts w:ascii="仿宋_GB2312" w:hAnsi="宋体" w:eastAsia="仿宋_GB2312"/>
                                      <w:kern w:val="0"/>
                                      <w:szCs w:val="18"/>
                                      <w:lang w:val="zh-CN"/>
                                    </w:rPr>
                                  </w:pPr>
                                  <w:r>
                                    <w:rPr>
                                      <w:rFonts w:ascii="宋体" w:hAnsi="宋体"/>
                                      <w:kern w:val="0"/>
                                      <w:szCs w:val="18"/>
                                      <w:lang w:val="zh-CN"/>
                                    </w:rPr>
                                    <w:t xml:space="preserve">3.1 </w:t>
                                  </w:r>
                                  <w:r>
                                    <w:rPr>
                                      <w:rFonts w:hint="eastAsia" w:ascii="仿宋_GB2312" w:hAnsi="宋体" w:eastAsia="仿宋_GB2312"/>
                                      <w:kern w:val="0"/>
                                      <w:szCs w:val="18"/>
                                      <w:lang w:val="zh-CN"/>
                                    </w:rPr>
                                    <w:t>责任免除</w:t>
                                  </w:r>
                                </w:p>
                                <w:p w14:paraId="3A103FB0">
                                  <w:pPr>
                                    <w:spacing w:line="280" w:lineRule="exact"/>
                                    <w:ind w:left="210" w:leftChars="100"/>
                                    <w:jc w:val="left"/>
                                    <w:rPr>
                                      <w:rFonts w:ascii="仿宋_GB2312" w:hAnsi="宋体" w:eastAsia="仿宋_GB2312"/>
                                      <w:kern w:val="0"/>
                                      <w:szCs w:val="18"/>
                                    </w:rPr>
                                  </w:pPr>
                                  <w:r>
                                    <w:rPr>
                                      <w:rFonts w:ascii="宋体" w:hAnsi="宋体"/>
                                      <w:kern w:val="0"/>
                                      <w:szCs w:val="18"/>
                                      <w:lang w:val="zh-CN"/>
                                    </w:rPr>
                                    <w:t xml:space="preserve">3.2 </w:t>
                                  </w:r>
                                  <w:r>
                                    <w:rPr>
                                      <w:rFonts w:hint="eastAsia" w:ascii="仿宋_GB2312" w:hAnsi="宋体" w:eastAsia="仿宋_GB2312"/>
                                      <w:kern w:val="0"/>
                                      <w:szCs w:val="18"/>
                                      <w:lang w:val="zh-CN"/>
                                    </w:rPr>
                                    <w:t>其他</w:t>
                                  </w:r>
                                  <w:r>
                                    <w:rPr>
                                      <w:rFonts w:hint="eastAsia" w:ascii="仿宋_GB2312" w:hAnsi="宋体" w:eastAsia="仿宋_GB2312"/>
                                      <w:kern w:val="0"/>
                                      <w:szCs w:val="18"/>
                                    </w:rPr>
                                    <w:t>需要您仔细阅读的条款</w:t>
                                  </w:r>
                                </w:p>
                                <w:p w14:paraId="1FC0F7C1">
                                  <w:pPr>
                                    <w:spacing w:line="280" w:lineRule="exact"/>
                                    <w:jc w:val="left"/>
                                    <w:rPr>
                                      <w:rFonts w:ascii="仿宋_GB2312" w:hAnsi="宋体" w:eastAsia="仿宋_GB2312"/>
                                      <w:kern w:val="0"/>
                                      <w:szCs w:val="18"/>
                                      <w:lang w:val="zh-CN"/>
                                    </w:rPr>
                                  </w:pPr>
                                  <w:r>
                                    <w:rPr>
                                      <w:rFonts w:ascii="宋体" w:hAnsi="宋体"/>
                                      <w:b/>
                                      <w:bCs/>
                                      <w:kern w:val="0"/>
                                      <w:szCs w:val="18"/>
                                      <w:lang w:val="zh-CN"/>
                                    </w:rPr>
                                    <w:t>4</w:t>
                                  </w:r>
                                  <w:r>
                                    <w:rPr>
                                      <w:rFonts w:hint="eastAsia" w:ascii="宋体" w:hAnsi="宋体"/>
                                      <w:b/>
                                      <w:bCs/>
                                      <w:kern w:val="0"/>
                                      <w:szCs w:val="18"/>
                                      <w:lang w:val="zh-CN"/>
                                    </w:rPr>
                                    <w:t>.</w:t>
                                  </w:r>
                                  <w:r>
                                    <w:rPr>
                                      <w:rFonts w:hint="eastAsia" w:ascii="仿宋_GB2312" w:hAnsi="宋体" w:eastAsia="仿宋_GB2312"/>
                                      <w:b/>
                                      <w:bCs/>
                                      <w:kern w:val="0"/>
                                      <w:szCs w:val="18"/>
                                      <w:lang w:val="zh-CN"/>
                                    </w:rPr>
                                    <w:t>如何支付保险费</w:t>
                                  </w:r>
                                </w:p>
                                <w:p w14:paraId="48ED5C89">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ascii="宋体" w:hAnsi="宋体"/>
                                      <w:kern w:val="0"/>
                                      <w:szCs w:val="18"/>
                                      <w:lang w:val="zh-CN"/>
                                    </w:rPr>
                                    <w:t xml:space="preserve">.1 </w:t>
                                  </w:r>
                                  <w:r>
                                    <w:rPr>
                                      <w:rFonts w:hint="eastAsia" w:ascii="仿宋_GB2312" w:hAnsi="宋体" w:eastAsia="仿宋_GB2312"/>
                                      <w:kern w:val="0"/>
                                      <w:szCs w:val="18"/>
                                      <w:lang w:val="zh-CN"/>
                                    </w:rPr>
                                    <w:t>保险费的支付</w:t>
                                  </w:r>
                                </w:p>
                                <w:p w14:paraId="5503E12A">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宽限期</w:t>
                                  </w:r>
                                </w:p>
                                <w:p w14:paraId="10E1E998">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宋体" w:eastAsia="仿宋_GB2312"/>
                                      <w:kern w:val="0"/>
                                      <w:szCs w:val="18"/>
                                      <w:lang w:val="zh-CN"/>
                                    </w:rPr>
                                    <w:t>效力</w:t>
                                  </w:r>
                                  <w:r>
                                    <w:rPr>
                                      <w:rFonts w:ascii="仿宋_GB2312" w:hAnsi="宋体" w:eastAsia="仿宋_GB2312"/>
                                      <w:kern w:val="0"/>
                                      <w:szCs w:val="18"/>
                                      <w:lang w:val="zh-CN"/>
                                    </w:rPr>
                                    <w:t>中止与恢复</w:t>
                                  </w:r>
                                </w:p>
                                <w:p w14:paraId="45CB1DD2">
                                  <w:pPr>
                                    <w:autoSpaceDE w:val="0"/>
                                    <w:autoSpaceDN w:val="0"/>
                                    <w:adjustRightInd w:val="0"/>
                                    <w:spacing w:line="280" w:lineRule="exact"/>
                                    <w:jc w:val="left"/>
                                    <w:rPr>
                                      <w:rFonts w:ascii="宋体" w:hAnsi="宋体"/>
                                      <w:kern w:val="0"/>
                                      <w:szCs w:val="18"/>
                                      <w:lang w:val="zh-CN"/>
                                    </w:rPr>
                                  </w:pPr>
                                  <w:r>
                                    <w:rPr>
                                      <w:rFonts w:hint="eastAsia" w:ascii="宋体" w:hAnsi="宋体"/>
                                      <w:b/>
                                      <w:bCs/>
                                      <w:kern w:val="0"/>
                                      <w:szCs w:val="18"/>
                                      <w:lang w:val="en-US" w:eastAsia="zh-CN"/>
                                    </w:rPr>
                                    <w:t>5</w:t>
                                  </w:r>
                                  <w:r>
                                    <w:rPr>
                                      <w:rFonts w:ascii="宋体" w:hAnsi="宋体"/>
                                      <w:b/>
                                      <w:bCs/>
                                      <w:kern w:val="0"/>
                                      <w:szCs w:val="18"/>
                                      <w:lang w:val="zh-CN"/>
                                    </w:rPr>
                                    <w:t>.</w:t>
                                  </w:r>
                                  <w:r>
                                    <w:rPr>
                                      <w:rFonts w:hint="eastAsia" w:ascii="仿宋_GB2312" w:hAnsi="宋体" w:eastAsia="仿宋_GB2312"/>
                                      <w:b/>
                                      <w:bCs/>
                                      <w:kern w:val="0"/>
                                      <w:szCs w:val="18"/>
                                      <w:lang w:val="zh-CN"/>
                                    </w:rPr>
                                    <w:t>如何领取保险金</w:t>
                                  </w:r>
                                </w:p>
                                <w:p w14:paraId="1C43E492">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1</w:t>
                                  </w:r>
                                  <w:r>
                                    <w:rPr>
                                      <w:rFonts w:ascii="宋体" w:hAnsi="宋体"/>
                                      <w:kern w:val="0"/>
                                      <w:szCs w:val="18"/>
                                      <w:lang w:val="zh-CN"/>
                                    </w:rPr>
                                    <w:t xml:space="preserve"> </w:t>
                                  </w:r>
                                  <w:r>
                                    <w:rPr>
                                      <w:rFonts w:hint="eastAsia" w:ascii="仿宋_GB2312" w:hAnsi="宋体" w:eastAsia="仿宋_GB2312"/>
                                      <w:kern w:val="0"/>
                                      <w:szCs w:val="18"/>
                                      <w:lang w:val="zh-CN"/>
                                    </w:rPr>
                                    <w:t>受益人的指定与变更</w:t>
                                  </w:r>
                                </w:p>
                                <w:p w14:paraId="73A4825D">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保险事故通知</w:t>
                                  </w:r>
                                </w:p>
                                <w:p w14:paraId="092A1503">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宋体" w:eastAsia="仿宋_GB2312"/>
                                      <w:kern w:val="0"/>
                                      <w:szCs w:val="18"/>
                                      <w:lang w:val="zh-CN"/>
                                    </w:rPr>
                                    <w:t>保险金申请</w:t>
                                  </w:r>
                                </w:p>
                                <w:p w14:paraId="2E74C4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85pt;margin-top:2.9pt;height:353.75pt;width:185pt;z-index:251660288;mso-width-relative:page;mso-height-relative:page;" filled="f" stroked="f" coordsize="21600,21600" o:gfxdata="UEsDBAoAAAAAAIdO4kAAAAAAAAAAAAAAAAAEAAAAZHJzL1BLAwQUAAAACACHTuJA1g92+NQAAAAI&#10;AQAADwAAAGRycy9kb3ducmV2LnhtbE2PzU7DMBCE70h9B2uRuFE7bfpDiNMDiCuIUpB6c+NtEhGv&#10;o9htwtuzOcFxdkaz3+S70bXiin1oPGlI5goEUultQ5WGw8fL/RZEiIasaT2hhh8MsCtmN7nJrB/o&#10;Ha/7WAkuoZAZDXWMXSZlKGt0Jsx9h8Te2ffORJZ9JW1vBi53rVwotZbONMQfatPhU43l9/7iNHy+&#10;no9fqXqrnt2qG/yoJLkHqfXdbaIeQUQc418YJnxGh4KZTv5CNohWwybZcFLDigewnaaTPk335RJk&#10;kcv/A4pfUEsDBBQAAAAIAIdO4kCfNBTTGAIAABYEAAAOAAAAZHJzL2Uyb0RvYy54bWytU81uEzEQ&#10;viPxDpbvZJOwoc0qm6o0KkIqP1LhARyvN2ux9pixk93yAPAGnLhw57nyHIy9aQjl0gMXy/aMv/m+&#10;b8aLi960bKfQa7Aln4zGnCkrodJ2U/KPH66fnXPmg7CVaMGqkt8pzy+WT58sOleoKTTQVgoZgVhf&#10;dK7kTQiuyDIvG2WEH4FTloI1oBGBjrjJKhQdoZs2m47HL7IOsHIIUnlPt6shyA+I+BhAqGst1Qrk&#10;1igbBlRUrQgkyTfaeb5MbOtayfCurr0KrC05KQ1ppSK0X8c1Wy5EsUHhGi0PFMRjKDzQZIS2VPQI&#10;tRJBsC3qf6CMlgge6jCSYLJBSHKEVEzGD7y5bYRTSQtZ7d3RdP//YOXb3Xtkuir5jDMrDDV8//3b&#10;/sev/c+vbBbt6ZwvKOvWUV7oX0JPQ5OkencD8pNnFq4aYTfqEhG6RomK6E3iy+zk6YDjI8i6ewMV&#10;1RHbAAmor9FE78gNRujUmrtja1QfmKTL6fN8PhtTSFIsz+fT/Pws1RDF/XOHPrxSYFjclByp9wle&#10;7G58iHREcZ8Sq1m41m2b+t/avy4oMd4k+pHxwD306/5gxxqqOxKCMIwTfSbaNIBfOOtolEruP28F&#10;Ks7a15bMmE/yPM5eOuSzsykd8DSyPo0IKwmq5IGzYXsVhnndOtSbhioN9lu4JANrnaRFpwdWB940&#10;LknxYbTjPJ6eU9af77z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YPdvjUAAAACAEAAA8AAAAA&#10;AAAAAQAgAAAAIgAAAGRycy9kb3ducmV2LnhtbFBLAQIUABQAAAAIAIdO4kCfNBTTGAIAABYEAAAO&#10;AAAAAAAAAAEAIAAAACMBAABkcnMvZTJvRG9jLnhtbFBLBQYAAAAABgAGAFkBAACtBQAAAAA=&#10;">
                      <v:fill on="f" focussize="0,0"/>
                      <v:stroke on="f"/>
                      <v:imagedata o:title=""/>
                      <o:lock v:ext="edit" aspectratio="f"/>
                      <v:textbox>
                        <w:txbxContent>
                          <w:p w14:paraId="3694DA71">
                            <w:pPr>
                              <w:autoSpaceDE w:val="0"/>
                              <w:autoSpaceDN w:val="0"/>
                              <w:adjustRightInd w:val="0"/>
                              <w:spacing w:line="280" w:lineRule="exact"/>
                              <w:jc w:val="left"/>
                              <w:rPr>
                                <w:rFonts w:ascii="仿宋_GB2312" w:hAnsi="宋体" w:eastAsia="仿宋_GB2312"/>
                                <w:b/>
                                <w:bCs/>
                                <w:kern w:val="0"/>
                                <w:szCs w:val="18"/>
                                <w:lang w:val="zh-CN"/>
                              </w:rPr>
                            </w:pPr>
                            <w:r>
                              <w:rPr>
                                <w:rFonts w:ascii="宋体" w:hAnsi="宋体"/>
                                <w:b/>
                                <w:bCs/>
                                <w:kern w:val="0"/>
                                <w:szCs w:val="18"/>
                                <w:lang w:val="zh-CN"/>
                              </w:rPr>
                              <w:t>1</w:t>
                            </w:r>
                            <w:r>
                              <w:rPr>
                                <w:rFonts w:hint="eastAsia" w:ascii="宋体" w:hAnsi="宋体"/>
                                <w:b/>
                                <w:bCs/>
                                <w:kern w:val="0"/>
                                <w:szCs w:val="18"/>
                                <w:lang w:val="zh-CN"/>
                              </w:rPr>
                              <w:t>.</w:t>
                            </w:r>
                            <w:r>
                              <w:rPr>
                                <w:rFonts w:hint="eastAsia" w:ascii="仿宋_GB2312" w:hAnsi="宋体" w:eastAsia="仿宋_GB2312"/>
                                <w:b/>
                                <w:bCs/>
                                <w:kern w:val="0"/>
                                <w:szCs w:val="18"/>
                                <w:lang w:val="zh-CN"/>
                              </w:rPr>
                              <w:t>您与我们的合同</w:t>
                            </w:r>
                          </w:p>
                          <w:p w14:paraId="078CF426">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1.1</w:t>
                            </w:r>
                            <w:r>
                              <w:rPr>
                                <w:rFonts w:ascii="宋体" w:hAnsi="宋体"/>
                                <w:kern w:val="0"/>
                                <w:szCs w:val="18"/>
                                <w:lang w:val="zh-CN"/>
                              </w:rPr>
                              <w:t xml:space="preserve"> </w:t>
                            </w:r>
                            <w:r>
                              <w:rPr>
                                <w:rFonts w:hint="eastAsia" w:ascii="仿宋_GB2312" w:hAnsi="宋体" w:eastAsia="仿宋_GB2312"/>
                                <w:kern w:val="0"/>
                                <w:szCs w:val="18"/>
                                <w:lang w:val="zh-CN"/>
                              </w:rPr>
                              <w:t>合同构成</w:t>
                            </w:r>
                          </w:p>
                          <w:p w14:paraId="457F1A24">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1.2</w:t>
                            </w:r>
                            <w:r>
                              <w:rPr>
                                <w:rFonts w:ascii="宋体" w:hAnsi="宋体"/>
                                <w:kern w:val="0"/>
                                <w:szCs w:val="18"/>
                                <w:lang w:val="zh-CN"/>
                              </w:rPr>
                              <w:t xml:space="preserve"> </w:t>
                            </w:r>
                            <w:r>
                              <w:rPr>
                                <w:rFonts w:hint="eastAsia" w:ascii="仿宋_GB2312" w:hAnsi="宋体" w:eastAsia="仿宋_GB2312"/>
                                <w:kern w:val="0"/>
                                <w:szCs w:val="18"/>
                                <w:lang w:val="zh-CN"/>
                              </w:rPr>
                              <w:t>合同成立与生效</w:t>
                            </w:r>
                          </w:p>
                          <w:p w14:paraId="381AA3BB">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1.3</w:t>
                            </w:r>
                            <w:r>
                              <w:rPr>
                                <w:rFonts w:ascii="宋体" w:hAnsi="宋体"/>
                                <w:kern w:val="0"/>
                                <w:szCs w:val="18"/>
                                <w:lang w:val="zh-CN"/>
                              </w:rPr>
                              <w:t xml:space="preserve"> </w:t>
                            </w:r>
                            <w:r>
                              <w:rPr>
                                <w:rFonts w:hint="eastAsia" w:ascii="仿宋_GB2312" w:hAnsi="宋体" w:eastAsia="仿宋_GB2312"/>
                                <w:kern w:val="0"/>
                                <w:szCs w:val="18"/>
                                <w:lang w:val="zh-CN"/>
                              </w:rPr>
                              <w:t>保险对象</w:t>
                            </w:r>
                          </w:p>
                          <w:p w14:paraId="71080FCD">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1.4</w:t>
                            </w:r>
                            <w:r>
                              <w:rPr>
                                <w:rFonts w:ascii="宋体" w:hAnsi="宋体"/>
                                <w:kern w:val="0"/>
                                <w:szCs w:val="18"/>
                                <w:lang w:val="zh-CN"/>
                              </w:rPr>
                              <w:t xml:space="preserve"> </w:t>
                            </w:r>
                            <w:r>
                              <w:rPr>
                                <w:rFonts w:hint="eastAsia" w:ascii="仿宋_GB2312" w:hAnsi="宋体" w:eastAsia="仿宋_GB2312"/>
                                <w:kern w:val="0"/>
                                <w:szCs w:val="18"/>
                                <w:lang w:val="zh-CN"/>
                              </w:rPr>
                              <w:t>投保年龄</w:t>
                            </w:r>
                          </w:p>
                          <w:p w14:paraId="5D5327A1">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w:t>
                            </w:r>
                            <w:r>
                              <w:rPr>
                                <w:rFonts w:ascii="宋体" w:hAnsi="宋体"/>
                                <w:kern w:val="0"/>
                                <w:szCs w:val="18"/>
                                <w:lang w:val="zh-CN"/>
                              </w:rPr>
                              <w:t xml:space="preserve">5 </w:t>
                            </w:r>
                            <w:r>
                              <w:rPr>
                                <w:rFonts w:hint="eastAsia" w:ascii="仿宋_GB2312" w:hAnsi="宋体" w:eastAsia="仿宋_GB2312"/>
                                <w:kern w:val="0"/>
                                <w:szCs w:val="18"/>
                                <w:lang w:val="zh-CN"/>
                              </w:rPr>
                              <w:t>犹豫期</w:t>
                            </w:r>
                          </w:p>
                          <w:p w14:paraId="5A242494">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1.</w:t>
                            </w:r>
                            <w:r>
                              <w:rPr>
                                <w:rFonts w:ascii="宋体" w:hAnsi="宋体"/>
                                <w:kern w:val="0"/>
                                <w:szCs w:val="18"/>
                                <w:lang w:val="zh-CN"/>
                              </w:rPr>
                              <w:t xml:space="preserve">6 </w:t>
                            </w:r>
                            <w:r>
                              <w:rPr>
                                <w:rFonts w:ascii="仿宋_GB2312" w:hAnsi="宋体" w:eastAsia="仿宋_GB2312"/>
                                <w:kern w:val="0"/>
                                <w:szCs w:val="18"/>
                                <w:lang w:val="zh-CN"/>
                              </w:rPr>
                              <w:t>保险期间</w:t>
                            </w:r>
                          </w:p>
                          <w:p w14:paraId="379C1A7B">
                            <w:pPr>
                              <w:autoSpaceDE w:val="0"/>
                              <w:autoSpaceDN w:val="0"/>
                              <w:adjustRightInd w:val="0"/>
                              <w:spacing w:line="280" w:lineRule="exact"/>
                              <w:jc w:val="left"/>
                              <w:rPr>
                                <w:rFonts w:ascii="宋体" w:hAnsi="宋体"/>
                                <w:kern w:val="0"/>
                                <w:szCs w:val="18"/>
                                <w:lang w:val="zh-CN"/>
                              </w:rPr>
                            </w:pPr>
                            <w:r>
                              <w:rPr>
                                <w:rFonts w:ascii="宋体" w:hAnsi="宋体"/>
                                <w:b/>
                                <w:bCs/>
                                <w:kern w:val="0"/>
                                <w:szCs w:val="18"/>
                                <w:lang w:val="zh-CN"/>
                              </w:rPr>
                              <w:t>2</w:t>
                            </w:r>
                            <w:r>
                              <w:rPr>
                                <w:rFonts w:hint="eastAsia" w:ascii="宋体" w:hAnsi="宋体"/>
                                <w:b/>
                                <w:bCs/>
                                <w:kern w:val="0"/>
                                <w:szCs w:val="18"/>
                                <w:lang w:val="zh-CN"/>
                              </w:rPr>
                              <w:t>.</w:t>
                            </w:r>
                            <w:r>
                              <w:rPr>
                                <w:rFonts w:hint="eastAsia" w:ascii="仿宋_GB2312" w:hAnsi="宋体" w:eastAsia="仿宋_GB2312"/>
                                <w:b/>
                                <w:bCs/>
                                <w:kern w:val="0"/>
                                <w:szCs w:val="18"/>
                                <w:lang w:val="zh-CN"/>
                              </w:rPr>
                              <w:t>我们提供的保障</w:t>
                            </w:r>
                          </w:p>
                          <w:p w14:paraId="7AB0BCEB">
                            <w:pPr>
                              <w:spacing w:line="280" w:lineRule="exact"/>
                              <w:ind w:left="210" w:leftChars="100"/>
                              <w:jc w:val="left"/>
                              <w:rPr>
                                <w:rFonts w:ascii="宋体" w:hAnsi="宋体"/>
                                <w:kern w:val="0"/>
                                <w:szCs w:val="18"/>
                                <w:lang w:val="zh-CN"/>
                              </w:rPr>
                            </w:pPr>
                            <w:r>
                              <w:rPr>
                                <w:rFonts w:hint="eastAsia" w:ascii="宋体" w:hAnsi="宋体"/>
                                <w:kern w:val="0"/>
                                <w:szCs w:val="18"/>
                                <w:lang w:val="zh-CN"/>
                              </w:rPr>
                              <w:t>2.1</w:t>
                            </w:r>
                            <w:r>
                              <w:rPr>
                                <w:rFonts w:ascii="宋体" w:hAnsi="宋体"/>
                                <w:kern w:val="0"/>
                                <w:szCs w:val="18"/>
                                <w:lang w:val="zh-CN"/>
                              </w:rPr>
                              <w:t xml:space="preserve"> </w:t>
                            </w:r>
                            <w:r>
                              <w:rPr>
                                <w:rFonts w:hint="eastAsia" w:ascii="仿宋_GB2312" w:hAnsi="宋体" w:eastAsia="仿宋_GB2312"/>
                                <w:kern w:val="0"/>
                                <w:szCs w:val="18"/>
                                <w:lang w:val="zh-CN"/>
                              </w:rPr>
                              <w:t>基本保险</w:t>
                            </w:r>
                            <w:r>
                              <w:rPr>
                                <w:rFonts w:ascii="仿宋_GB2312" w:hAnsi="宋体" w:eastAsia="仿宋_GB2312"/>
                                <w:kern w:val="0"/>
                                <w:szCs w:val="18"/>
                                <w:lang w:val="zh-CN"/>
                              </w:rPr>
                              <w:t>金额</w:t>
                            </w:r>
                          </w:p>
                          <w:p w14:paraId="694C7436">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zh-CN"/>
                              </w:rPr>
                              <w:t>2.2</w:t>
                            </w:r>
                            <w:r>
                              <w:rPr>
                                <w:rFonts w:ascii="宋体" w:hAnsi="宋体"/>
                                <w:kern w:val="0"/>
                                <w:szCs w:val="18"/>
                                <w:lang w:val="zh-CN"/>
                              </w:rPr>
                              <w:t xml:space="preserve"> </w:t>
                            </w:r>
                            <w:r>
                              <w:rPr>
                                <w:rFonts w:hint="eastAsia" w:ascii="仿宋_GB2312" w:hAnsi="宋体" w:eastAsia="仿宋_GB2312"/>
                                <w:kern w:val="0"/>
                                <w:szCs w:val="18"/>
                                <w:lang w:val="zh-CN"/>
                              </w:rPr>
                              <w:t>保险责任</w:t>
                            </w:r>
                          </w:p>
                          <w:p w14:paraId="35132ABD">
                            <w:pPr>
                              <w:spacing w:line="280" w:lineRule="exact"/>
                              <w:jc w:val="left"/>
                              <w:rPr>
                                <w:rFonts w:ascii="仿宋_GB2312" w:hAnsi="宋体" w:eastAsia="仿宋_GB2312"/>
                                <w:kern w:val="0"/>
                                <w:szCs w:val="18"/>
                              </w:rPr>
                            </w:pPr>
                            <w:r>
                              <w:rPr>
                                <w:rFonts w:ascii="宋体" w:hAnsi="宋体"/>
                                <w:b/>
                                <w:bCs/>
                                <w:kern w:val="0"/>
                                <w:szCs w:val="18"/>
                                <w:lang w:val="zh-CN"/>
                              </w:rPr>
                              <w:t>3</w:t>
                            </w:r>
                            <w:r>
                              <w:rPr>
                                <w:rFonts w:hint="eastAsia" w:ascii="宋体" w:hAnsi="宋体"/>
                                <w:b/>
                                <w:bCs/>
                                <w:kern w:val="0"/>
                                <w:szCs w:val="18"/>
                                <w:lang w:val="zh-CN"/>
                              </w:rPr>
                              <w:t>.</w:t>
                            </w:r>
                            <w:r>
                              <w:rPr>
                                <w:rFonts w:hint="eastAsia" w:ascii="仿宋_GB2312" w:hAnsi="宋体" w:eastAsia="仿宋_GB2312"/>
                                <w:b/>
                                <w:bCs/>
                                <w:kern w:val="0"/>
                                <w:szCs w:val="18"/>
                                <w:lang w:val="zh-CN"/>
                              </w:rPr>
                              <w:t>责任免除</w:t>
                            </w:r>
                            <w:r>
                              <w:rPr>
                                <w:rFonts w:hint="eastAsia" w:ascii="仿宋_GB2312" w:hAnsi="宋体" w:eastAsia="仿宋_GB2312"/>
                                <w:b/>
                                <w:bCs/>
                                <w:kern w:val="0"/>
                                <w:szCs w:val="18"/>
                              </w:rPr>
                              <w:t>及其他</w:t>
                            </w:r>
                          </w:p>
                          <w:p w14:paraId="3B5B5673">
                            <w:pPr>
                              <w:spacing w:line="280" w:lineRule="exact"/>
                              <w:ind w:left="210" w:leftChars="100"/>
                              <w:jc w:val="left"/>
                              <w:rPr>
                                <w:rFonts w:ascii="仿宋_GB2312" w:hAnsi="宋体" w:eastAsia="仿宋_GB2312"/>
                                <w:kern w:val="0"/>
                                <w:szCs w:val="18"/>
                                <w:lang w:val="zh-CN"/>
                              </w:rPr>
                            </w:pPr>
                            <w:r>
                              <w:rPr>
                                <w:rFonts w:ascii="宋体" w:hAnsi="宋体"/>
                                <w:kern w:val="0"/>
                                <w:szCs w:val="18"/>
                                <w:lang w:val="zh-CN"/>
                              </w:rPr>
                              <w:t xml:space="preserve">3.1 </w:t>
                            </w:r>
                            <w:r>
                              <w:rPr>
                                <w:rFonts w:hint="eastAsia" w:ascii="仿宋_GB2312" w:hAnsi="宋体" w:eastAsia="仿宋_GB2312"/>
                                <w:kern w:val="0"/>
                                <w:szCs w:val="18"/>
                                <w:lang w:val="zh-CN"/>
                              </w:rPr>
                              <w:t>责任免除</w:t>
                            </w:r>
                          </w:p>
                          <w:p w14:paraId="3A103FB0">
                            <w:pPr>
                              <w:spacing w:line="280" w:lineRule="exact"/>
                              <w:ind w:left="210" w:leftChars="100"/>
                              <w:jc w:val="left"/>
                              <w:rPr>
                                <w:rFonts w:ascii="仿宋_GB2312" w:hAnsi="宋体" w:eastAsia="仿宋_GB2312"/>
                                <w:kern w:val="0"/>
                                <w:szCs w:val="18"/>
                              </w:rPr>
                            </w:pPr>
                            <w:r>
                              <w:rPr>
                                <w:rFonts w:ascii="宋体" w:hAnsi="宋体"/>
                                <w:kern w:val="0"/>
                                <w:szCs w:val="18"/>
                                <w:lang w:val="zh-CN"/>
                              </w:rPr>
                              <w:t xml:space="preserve">3.2 </w:t>
                            </w:r>
                            <w:r>
                              <w:rPr>
                                <w:rFonts w:hint="eastAsia" w:ascii="仿宋_GB2312" w:hAnsi="宋体" w:eastAsia="仿宋_GB2312"/>
                                <w:kern w:val="0"/>
                                <w:szCs w:val="18"/>
                                <w:lang w:val="zh-CN"/>
                              </w:rPr>
                              <w:t>其他</w:t>
                            </w:r>
                            <w:r>
                              <w:rPr>
                                <w:rFonts w:hint="eastAsia" w:ascii="仿宋_GB2312" w:hAnsi="宋体" w:eastAsia="仿宋_GB2312"/>
                                <w:kern w:val="0"/>
                                <w:szCs w:val="18"/>
                              </w:rPr>
                              <w:t>需要您仔细阅读的条款</w:t>
                            </w:r>
                          </w:p>
                          <w:p w14:paraId="1FC0F7C1">
                            <w:pPr>
                              <w:spacing w:line="280" w:lineRule="exact"/>
                              <w:jc w:val="left"/>
                              <w:rPr>
                                <w:rFonts w:ascii="仿宋_GB2312" w:hAnsi="宋体" w:eastAsia="仿宋_GB2312"/>
                                <w:kern w:val="0"/>
                                <w:szCs w:val="18"/>
                                <w:lang w:val="zh-CN"/>
                              </w:rPr>
                            </w:pPr>
                            <w:r>
                              <w:rPr>
                                <w:rFonts w:ascii="宋体" w:hAnsi="宋体"/>
                                <w:b/>
                                <w:bCs/>
                                <w:kern w:val="0"/>
                                <w:szCs w:val="18"/>
                                <w:lang w:val="zh-CN"/>
                              </w:rPr>
                              <w:t>4</w:t>
                            </w:r>
                            <w:r>
                              <w:rPr>
                                <w:rFonts w:hint="eastAsia" w:ascii="宋体" w:hAnsi="宋体"/>
                                <w:b/>
                                <w:bCs/>
                                <w:kern w:val="0"/>
                                <w:szCs w:val="18"/>
                                <w:lang w:val="zh-CN"/>
                              </w:rPr>
                              <w:t>.</w:t>
                            </w:r>
                            <w:r>
                              <w:rPr>
                                <w:rFonts w:hint="eastAsia" w:ascii="仿宋_GB2312" w:hAnsi="宋体" w:eastAsia="仿宋_GB2312"/>
                                <w:b/>
                                <w:bCs/>
                                <w:kern w:val="0"/>
                                <w:szCs w:val="18"/>
                                <w:lang w:val="zh-CN"/>
                              </w:rPr>
                              <w:t>如何支付保险费</w:t>
                            </w:r>
                          </w:p>
                          <w:p w14:paraId="48ED5C89">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ascii="宋体" w:hAnsi="宋体"/>
                                <w:kern w:val="0"/>
                                <w:szCs w:val="18"/>
                                <w:lang w:val="zh-CN"/>
                              </w:rPr>
                              <w:t xml:space="preserve">.1 </w:t>
                            </w:r>
                            <w:r>
                              <w:rPr>
                                <w:rFonts w:hint="eastAsia" w:ascii="仿宋_GB2312" w:hAnsi="宋体" w:eastAsia="仿宋_GB2312"/>
                                <w:kern w:val="0"/>
                                <w:szCs w:val="18"/>
                                <w:lang w:val="zh-CN"/>
                              </w:rPr>
                              <w:t>保险费的支付</w:t>
                            </w:r>
                          </w:p>
                          <w:p w14:paraId="5503E12A">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宽限期</w:t>
                            </w:r>
                          </w:p>
                          <w:p w14:paraId="10E1E998">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4</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宋体" w:eastAsia="仿宋_GB2312"/>
                                <w:kern w:val="0"/>
                                <w:szCs w:val="18"/>
                                <w:lang w:val="zh-CN"/>
                              </w:rPr>
                              <w:t>效力</w:t>
                            </w:r>
                            <w:r>
                              <w:rPr>
                                <w:rFonts w:ascii="仿宋_GB2312" w:hAnsi="宋体" w:eastAsia="仿宋_GB2312"/>
                                <w:kern w:val="0"/>
                                <w:szCs w:val="18"/>
                                <w:lang w:val="zh-CN"/>
                              </w:rPr>
                              <w:t>中止与恢复</w:t>
                            </w:r>
                          </w:p>
                          <w:p w14:paraId="45CB1DD2">
                            <w:pPr>
                              <w:autoSpaceDE w:val="0"/>
                              <w:autoSpaceDN w:val="0"/>
                              <w:adjustRightInd w:val="0"/>
                              <w:spacing w:line="280" w:lineRule="exact"/>
                              <w:jc w:val="left"/>
                              <w:rPr>
                                <w:rFonts w:ascii="宋体" w:hAnsi="宋体"/>
                                <w:kern w:val="0"/>
                                <w:szCs w:val="18"/>
                                <w:lang w:val="zh-CN"/>
                              </w:rPr>
                            </w:pPr>
                            <w:r>
                              <w:rPr>
                                <w:rFonts w:hint="eastAsia" w:ascii="宋体" w:hAnsi="宋体"/>
                                <w:b/>
                                <w:bCs/>
                                <w:kern w:val="0"/>
                                <w:szCs w:val="18"/>
                                <w:lang w:val="en-US" w:eastAsia="zh-CN"/>
                              </w:rPr>
                              <w:t>5</w:t>
                            </w:r>
                            <w:r>
                              <w:rPr>
                                <w:rFonts w:ascii="宋体" w:hAnsi="宋体"/>
                                <w:b/>
                                <w:bCs/>
                                <w:kern w:val="0"/>
                                <w:szCs w:val="18"/>
                                <w:lang w:val="zh-CN"/>
                              </w:rPr>
                              <w:t>.</w:t>
                            </w:r>
                            <w:r>
                              <w:rPr>
                                <w:rFonts w:hint="eastAsia" w:ascii="仿宋_GB2312" w:hAnsi="宋体" w:eastAsia="仿宋_GB2312"/>
                                <w:b/>
                                <w:bCs/>
                                <w:kern w:val="0"/>
                                <w:szCs w:val="18"/>
                                <w:lang w:val="zh-CN"/>
                              </w:rPr>
                              <w:t>如何领取保险金</w:t>
                            </w:r>
                          </w:p>
                          <w:p w14:paraId="1C43E492">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1</w:t>
                            </w:r>
                            <w:r>
                              <w:rPr>
                                <w:rFonts w:ascii="宋体" w:hAnsi="宋体"/>
                                <w:kern w:val="0"/>
                                <w:szCs w:val="18"/>
                                <w:lang w:val="zh-CN"/>
                              </w:rPr>
                              <w:t xml:space="preserve"> </w:t>
                            </w:r>
                            <w:r>
                              <w:rPr>
                                <w:rFonts w:hint="eastAsia" w:ascii="仿宋_GB2312" w:hAnsi="宋体" w:eastAsia="仿宋_GB2312"/>
                                <w:kern w:val="0"/>
                                <w:szCs w:val="18"/>
                                <w:lang w:val="zh-CN"/>
                              </w:rPr>
                              <w:t>受益人的指定与变更</w:t>
                            </w:r>
                          </w:p>
                          <w:p w14:paraId="73A4825D">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保险事故通知</w:t>
                            </w:r>
                          </w:p>
                          <w:p w14:paraId="092A1503">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宋体" w:eastAsia="仿宋_GB2312"/>
                                <w:kern w:val="0"/>
                                <w:szCs w:val="18"/>
                                <w:lang w:val="zh-CN"/>
                              </w:rPr>
                              <w:t>保险金申请</w:t>
                            </w:r>
                          </w:p>
                          <w:p w14:paraId="2E74C4DF"/>
                        </w:txbxContent>
                      </v:textbox>
                    </v:shape>
                  </w:pict>
                </mc:Fallback>
              </mc:AlternateContent>
            </w:r>
            <w:r>
              <w:rPr>
                <w:rFonts w:hint="eastAsia" w:ascii="Wingdings 2" w:hAnsi="Wingdings 2"/>
                <w:b/>
                <w:bCs/>
                <w:position w:val="-12"/>
                <w:sz w:val="20"/>
              </w:rPr>
              <mc:AlternateContent>
                <mc:Choice Requires="wps">
                  <w:drawing>
                    <wp:anchor distT="0" distB="0" distL="114300" distR="114300" simplePos="0" relativeHeight="251661312" behindDoc="0" locked="0" layoutInCell="1" allowOverlap="1">
                      <wp:simplePos x="0" y="0"/>
                      <wp:positionH relativeFrom="column">
                        <wp:posOffset>3143885</wp:posOffset>
                      </wp:positionH>
                      <wp:positionV relativeFrom="paragraph">
                        <wp:posOffset>52705</wp:posOffset>
                      </wp:positionV>
                      <wp:extent cx="2678430" cy="437515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678430" cy="4375150"/>
                              </a:xfrm>
                              <a:prstGeom prst="rect">
                                <a:avLst/>
                              </a:prstGeom>
                              <a:noFill/>
                              <a:ln>
                                <a:noFill/>
                              </a:ln>
                            </wps:spPr>
                            <wps:txbx>
                              <w:txbxContent>
                                <w:p w14:paraId="3F2366A8">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4</w:t>
                                  </w:r>
                                  <w:r>
                                    <w:rPr>
                                      <w:rFonts w:ascii="宋体" w:hAnsi="宋体"/>
                                      <w:kern w:val="0"/>
                                      <w:szCs w:val="18"/>
                                      <w:lang w:val="zh-CN"/>
                                    </w:rPr>
                                    <w:t xml:space="preserve"> </w:t>
                                  </w:r>
                                  <w:r>
                                    <w:rPr>
                                      <w:rFonts w:hint="eastAsia" w:ascii="仿宋_GB2312" w:hAnsi="宋体" w:eastAsia="仿宋_GB2312"/>
                                      <w:kern w:val="0"/>
                                      <w:szCs w:val="18"/>
                                      <w:lang w:val="zh-CN"/>
                                    </w:rPr>
                                    <w:t>保险金的给付</w:t>
                                  </w:r>
                                </w:p>
                                <w:p w14:paraId="4C262222">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hint="eastAsia" w:ascii="宋体" w:hAnsi="宋体"/>
                                      <w:kern w:val="0"/>
                                      <w:szCs w:val="18"/>
                                      <w:lang w:val="zh-CN"/>
                                    </w:rPr>
                                    <w:t>.</w:t>
                                  </w:r>
                                  <w:r>
                                    <w:rPr>
                                      <w:rFonts w:ascii="宋体" w:hAnsi="宋体"/>
                                      <w:kern w:val="0"/>
                                      <w:szCs w:val="18"/>
                                      <w:lang w:val="zh-CN"/>
                                    </w:rPr>
                                    <w:t xml:space="preserve">5 </w:t>
                                  </w:r>
                                  <w:r>
                                    <w:rPr>
                                      <w:rFonts w:ascii="仿宋_GB2312" w:hAnsi="宋体" w:eastAsia="仿宋_GB2312"/>
                                      <w:kern w:val="0"/>
                                      <w:szCs w:val="18"/>
                                      <w:lang w:val="zh-CN"/>
                                    </w:rPr>
                                    <w:t>诉讼</w:t>
                                  </w:r>
                                  <w:r>
                                    <w:rPr>
                                      <w:rFonts w:hint="eastAsia" w:ascii="仿宋_GB2312" w:hAnsi="宋体" w:eastAsia="仿宋_GB2312"/>
                                      <w:kern w:val="0"/>
                                      <w:szCs w:val="18"/>
                                      <w:lang w:val="zh-CN"/>
                                    </w:rPr>
                                    <w:t>时效</w:t>
                                  </w:r>
                                </w:p>
                                <w:p w14:paraId="6DF849CA">
                                  <w:pPr>
                                    <w:autoSpaceDE w:val="0"/>
                                    <w:autoSpaceDN w:val="0"/>
                                    <w:adjustRightInd w:val="0"/>
                                    <w:spacing w:line="280" w:lineRule="exact"/>
                                    <w:jc w:val="left"/>
                                    <w:rPr>
                                      <w:rFonts w:ascii="仿宋_GB2312" w:hAnsi="宋体" w:eastAsia="仿宋_GB2312"/>
                                      <w:b/>
                                      <w:bCs/>
                                      <w:kern w:val="0"/>
                                      <w:szCs w:val="18"/>
                                      <w:lang w:val="zh-CN"/>
                                    </w:rPr>
                                  </w:pPr>
                                  <w:r>
                                    <w:rPr>
                                      <w:rFonts w:hint="eastAsia" w:ascii="宋体" w:hAnsi="宋体"/>
                                      <w:b/>
                                      <w:bCs/>
                                      <w:kern w:val="0"/>
                                      <w:szCs w:val="18"/>
                                      <w:lang w:val="en-US" w:eastAsia="zh-CN"/>
                                    </w:rPr>
                                    <w:t>6</w:t>
                                  </w:r>
                                  <w:r>
                                    <w:rPr>
                                      <w:rFonts w:hint="eastAsia" w:ascii="宋体" w:hAnsi="宋体"/>
                                      <w:b/>
                                      <w:bCs/>
                                      <w:kern w:val="0"/>
                                      <w:szCs w:val="18"/>
                                      <w:lang w:val="zh-CN"/>
                                    </w:rPr>
                                    <w:t>.</w:t>
                                  </w:r>
                                  <w:r>
                                    <w:rPr>
                                      <w:rFonts w:hint="eastAsia" w:ascii="仿宋_GB2312" w:hAnsi="宋体" w:eastAsia="仿宋_GB2312"/>
                                      <w:b/>
                                      <w:bCs/>
                                      <w:kern w:val="0"/>
                                      <w:szCs w:val="18"/>
                                      <w:lang w:val="zh-CN"/>
                                    </w:rPr>
                                    <w:t>如何解除保险合同</w:t>
                                  </w:r>
                                </w:p>
                                <w:p w14:paraId="6933C99C">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6</w:t>
                                  </w:r>
                                  <w:r>
                                    <w:rPr>
                                      <w:rFonts w:hint="eastAsia" w:ascii="宋体" w:hAnsi="宋体"/>
                                      <w:kern w:val="0"/>
                                      <w:szCs w:val="18"/>
                                      <w:lang w:val="zh-CN"/>
                                    </w:rPr>
                                    <w:t>.1</w:t>
                                  </w:r>
                                  <w:r>
                                    <w:rPr>
                                      <w:rFonts w:ascii="宋体" w:hAnsi="宋体"/>
                                      <w:kern w:val="0"/>
                                      <w:szCs w:val="18"/>
                                      <w:lang w:val="zh-CN"/>
                                    </w:rPr>
                                    <w:t xml:space="preserve"> </w:t>
                                  </w:r>
                                  <w:r>
                                    <w:rPr>
                                      <w:rFonts w:hint="eastAsia" w:ascii="仿宋_GB2312" w:hAnsi="宋体" w:eastAsia="仿宋_GB2312"/>
                                      <w:kern w:val="0"/>
                                      <w:szCs w:val="18"/>
                                      <w:lang w:val="zh-CN"/>
                                    </w:rPr>
                                    <w:t>您解除合同的手续及风险</w:t>
                                  </w:r>
                                </w:p>
                                <w:p w14:paraId="02CA5000">
                                  <w:pPr>
                                    <w:autoSpaceDE w:val="0"/>
                                    <w:autoSpaceDN w:val="0"/>
                                    <w:adjustRightInd w:val="0"/>
                                    <w:spacing w:line="280" w:lineRule="exact"/>
                                    <w:jc w:val="left"/>
                                    <w:rPr>
                                      <w:rFonts w:ascii="仿宋_GB2312" w:hAnsi="宋体" w:eastAsia="仿宋_GB2312"/>
                                      <w:b/>
                                      <w:bCs/>
                                      <w:kern w:val="0"/>
                                      <w:szCs w:val="18"/>
                                      <w:lang w:val="zh-CN"/>
                                    </w:rPr>
                                  </w:pPr>
                                  <w:r>
                                    <w:rPr>
                                      <w:rFonts w:hint="eastAsia" w:ascii="宋体" w:hAnsi="宋体"/>
                                      <w:b/>
                                      <w:bCs/>
                                      <w:kern w:val="0"/>
                                      <w:szCs w:val="18"/>
                                      <w:lang w:val="en-US" w:eastAsia="zh-CN"/>
                                    </w:rPr>
                                    <w:t>7</w:t>
                                  </w:r>
                                  <w:r>
                                    <w:rPr>
                                      <w:rFonts w:hint="eastAsia" w:ascii="宋体" w:hAnsi="宋体"/>
                                      <w:b/>
                                      <w:bCs/>
                                      <w:kern w:val="0"/>
                                      <w:szCs w:val="18"/>
                                      <w:lang w:val="zh-CN"/>
                                    </w:rPr>
                                    <w:t>.</w:t>
                                  </w:r>
                                  <w:r>
                                    <w:rPr>
                                      <w:rFonts w:hint="eastAsia" w:ascii="仿宋_GB2312" w:hAnsi="宋体" w:eastAsia="仿宋_GB2312"/>
                                      <w:b/>
                                      <w:bCs/>
                                      <w:kern w:val="0"/>
                                      <w:szCs w:val="18"/>
                                      <w:lang w:val="zh-CN"/>
                                    </w:rPr>
                                    <w:t>其他需要关注的事项</w:t>
                                  </w:r>
                                </w:p>
                                <w:p w14:paraId="266BB9D0">
                                  <w:pPr>
                                    <w:spacing w:line="280" w:lineRule="exact"/>
                                    <w:ind w:left="210" w:leftChars="100"/>
                                    <w:rPr>
                                      <w:rFonts w:ascii="仿宋_GB2312" w:hAnsi="宋体" w:eastAsia="仿宋_GB2312"/>
                                      <w:kern w:val="0"/>
                                      <w:szCs w:val="18"/>
                                      <w:lang w:val="zh-CN"/>
                                    </w:rPr>
                                  </w:pPr>
                                  <w:r>
                                    <w:rPr>
                                      <w:rFonts w:hint="eastAsia" w:ascii="宋体" w:hAnsi="宋体"/>
                                      <w:kern w:val="0"/>
                                      <w:szCs w:val="18"/>
                                      <w:lang w:val="en-US" w:eastAsia="zh-CN"/>
                                    </w:rPr>
                                    <w:t>7</w:t>
                                  </w:r>
                                  <w:r>
                                    <w:rPr>
                                      <w:rFonts w:ascii="宋体" w:hAnsi="宋体"/>
                                      <w:kern w:val="0"/>
                                      <w:szCs w:val="18"/>
                                      <w:lang w:val="zh-CN"/>
                                    </w:rPr>
                                    <w:t xml:space="preserve">.1 </w:t>
                                  </w:r>
                                  <w:r>
                                    <w:rPr>
                                      <w:rFonts w:hint="eastAsia" w:ascii="仿宋_GB2312" w:hAnsi="宋体" w:eastAsia="仿宋_GB2312"/>
                                      <w:kern w:val="0"/>
                                      <w:szCs w:val="18"/>
                                      <w:lang w:val="zh-CN"/>
                                    </w:rPr>
                                    <w:t>明确说明与如实告知</w:t>
                                  </w:r>
                                </w:p>
                                <w:p w14:paraId="0DC421AE">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年龄与性别错误</w:t>
                                  </w:r>
                                </w:p>
                                <w:p w14:paraId="424DBBE8">
                                  <w:pPr>
                                    <w:autoSpaceDE w:val="0"/>
                                    <w:autoSpaceDN w:val="0"/>
                                    <w:adjustRightInd w:val="0"/>
                                    <w:spacing w:line="280" w:lineRule="exact"/>
                                    <w:ind w:firstLine="210" w:firstLineChars="100"/>
                                    <w:jc w:val="left"/>
                                    <w:rPr>
                                      <w:rFonts w:hint="default" w:ascii="宋体" w:hAnsi="宋体" w:eastAsia="宋体"/>
                                      <w:kern w:val="0"/>
                                      <w:szCs w:val="18"/>
                                      <w:lang w:val="en-US" w:eastAsia="zh-CN"/>
                                    </w:rPr>
                                  </w:pPr>
                                  <w:r>
                                    <w:rPr>
                                      <w:rFonts w:hint="eastAsia" w:ascii="宋体" w:hAnsi="宋体"/>
                                      <w:kern w:val="0"/>
                                      <w:szCs w:val="18"/>
                                      <w:lang w:val="en-US" w:eastAsia="zh-CN"/>
                                    </w:rPr>
                                    <w:t>7</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仿宋_GB2312" w:eastAsia="仿宋_GB2312" w:cs="仿宋_GB2312"/>
                                      <w:kern w:val="0"/>
                                      <w:szCs w:val="18"/>
                                      <w:lang w:val="en-US" w:eastAsia="zh-CN"/>
                                    </w:rPr>
                                    <w:t>减少基本保险金额</w:t>
                                  </w:r>
                                </w:p>
                                <w:p w14:paraId="0776F889">
                                  <w:pPr>
                                    <w:autoSpaceDE w:val="0"/>
                                    <w:autoSpaceDN w:val="0"/>
                                    <w:adjustRightInd w:val="0"/>
                                    <w:spacing w:line="280" w:lineRule="exact"/>
                                    <w:ind w:firstLine="210" w:firstLineChars="100"/>
                                    <w:jc w:val="left"/>
                                    <w:rPr>
                                      <w:rFonts w:hint="eastAsia" w:ascii="仿宋_GB2312" w:hAnsi="宋体" w:eastAsia="仿宋_GB2312"/>
                                      <w:kern w:val="0"/>
                                      <w:szCs w:val="18"/>
                                      <w:lang w:val="en-US" w:eastAsia="zh-CN"/>
                                    </w:rPr>
                                  </w:pPr>
                                  <w:r>
                                    <w:rPr>
                                      <w:rFonts w:hint="eastAsia" w:ascii="仿宋_GB2312" w:hAnsi="宋体" w:eastAsia="仿宋_GB2312"/>
                                      <w:kern w:val="0"/>
                                      <w:szCs w:val="18"/>
                                      <w:lang w:val="en-US" w:eastAsia="zh-CN"/>
                                    </w:rPr>
                                    <w:t>7.4 职业或工种变更</w:t>
                                  </w:r>
                                </w:p>
                                <w:p w14:paraId="384CD4C5">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仿宋_GB2312" w:hAnsi="宋体" w:eastAsia="仿宋_GB2312"/>
                                      <w:kern w:val="0"/>
                                      <w:szCs w:val="18"/>
                                      <w:lang w:val="en-US" w:eastAsia="zh-CN"/>
                                    </w:rPr>
                                    <w:t xml:space="preserve">7.5 </w:t>
                                  </w:r>
                                  <w:r>
                                    <w:rPr>
                                      <w:rFonts w:hint="eastAsia" w:ascii="仿宋_GB2312" w:hAnsi="宋体" w:eastAsia="仿宋_GB2312"/>
                                      <w:kern w:val="0"/>
                                      <w:szCs w:val="18"/>
                                      <w:lang w:val="zh-CN"/>
                                    </w:rPr>
                                    <w:t>未还款项</w:t>
                                  </w:r>
                                </w:p>
                                <w:p w14:paraId="768B6B1F">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6</w:t>
                                  </w:r>
                                  <w:r>
                                    <w:rPr>
                                      <w:rFonts w:ascii="宋体" w:hAnsi="宋体"/>
                                      <w:kern w:val="0"/>
                                      <w:szCs w:val="18"/>
                                      <w:lang w:val="zh-CN"/>
                                    </w:rPr>
                                    <w:t xml:space="preserve"> </w:t>
                                  </w:r>
                                  <w:r>
                                    <w:rPr>
                                      <w:rFonts w:hint="eastAsia" w:ascii="仿宋_GB2312" w:hAnsi="宋体" w:eastAsia="仿宋_GB2312"/>
                                      <w:kern w:val="0"/>
                                      <w:szCs w:val="18"/>
                                      <w:lang w:val="zh-CN"/>
                                    </w:rPr>
                                    <w:t>合同内容变更</w:t>
                                  </w:r>
                                </w:p>
                                <w:p w14:paraId="5D997122">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7</w:t>
                                  </w:r>
                                  <w:r>
                                    <w:rPr>
                                      <w:rFonts w:ascii="宋体" w:hAnsi="宋体"/>
                                      <w:kern w:val="0"/>
                                      <w:szCs w:val="18"/>
                                      <w:lang w:val="zh-CN"/>
                                    </w:rPr>
                                    <w:t xml:space="preserve"> </w:t>
                                  </w:r>
                                  <w:r>
                                    <w:rPr>
                                      <w:rFonts w:hint="eastAsia" w:ascii="仿宋_GB2312" w:hAnsi="宋体" w:eastAsia="仿宋_GB2312"/>
                                      <w:kern w:val="0"/>
                                      <w:szCs w:val="18"/>
                                      <w:lang w:val="zh-CN"/>
                                    </w:rPr>
                                    <w:t>联系方式变更</w:t>
                                  </w:r>
                                </w:p>
                                <w:p w14:paraId="6295FC57">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8</w:t>
                                  </w:r>
                                  <w:r>
                                    <w:rPr>
                                      <w:rFonts w:hint="eastAsia" w:ascii="仿宋_GB2312" w:hAnsi="宋体" w:eastAsia="仿宋_GB2312"/>
                                      <w:kern w:val="0"/>
                                      <w:szCs w:val="18"/>
                                      <w:lang w:val="zh-CN"/>
                                    </w:rPr>
                                    <w:t xml:space="preserve"> 效力</w:t>
                                  </w:r>
                                  <w:r>
                                    <w:rPr>
                                      <w:rFonts w:ascii="仿宋_GB2312" w:hAnsi="宋体" w:eastAsia="仿宋_GB2312"/>
                                      <w:kern w:val="0"/>
                                      <w:szCs w:val="18"/>
                                      <w:lang w:val="zh-CN"/>
                                    </w:rPr>
                                    <w:t>终止</w:t>
                                  </w:r>
                                </w:p>
                                <w:p w14:paraId="2EFE9163">
                                  <w:pPr>
                                    <w:autoSpaceDE w:val="0"/>
                                    <w:autoSpaceDN w:val="0"/>
                                    <w:adjustRightInd w:val="0"/>
                                    <w:spacing w:line="280" w:lineRule="exact"/>
                                    <w:ind w:firstLine="210" w:firstLineChars="100"/>
                                    <w:jc w:val="left"/>
                                    <w:rPr>
                                      <w:rFonts w:ascii="仿宋_GB2312" w:hAnsi="宋体" w:eastAsia="仿宋_GB2312"/>
                                      <w:color w:val="FF0000"/>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9</w:t>
                                  </w:r>
                                  <w:r>
                                    <w:rPr>
                                      <w:rFonts w:hint="eastAsia" w:ascii="仿宋_GB2312" w:hAnsi="宋体" w:eastAsia="仿宋_GB2312"/>
                                      <w:kern w:val="0"/>
                                      <w:szCs w:val="18"/>
                                      <w:lang w:val="zh-CN"/>
                                    </w:rPr>
                                    <w:t xml:space="preserve"> 争议处理</w:t>
                                  </w:r>
                                </w:p>
                                <w:p w14:paraId="771C5F80">
                                  <w:pPr>
                                    <w:jc w:val="left"/>
                                    <w:rPr>
                                      <w:rFonts w:ascii="仿宋_GB2312" w:hAnsi="宋体" w:eastAsia="仿宋_GB2312"/>
                                      <w:b/>
                                      <w:bCs/>
                                      <w:kern w:val="0"/>
                                      <w:szCs w:val="18"/>
                                      <w:lang w:val="zh-CN"/>
                                    </w:rPr>
                                  </w:pPr>
                                </w:p>
                                <w:p w14:paraId="14350C89">
                                  <w:pPr>
                                    <w:jc w:val="left"/>
                                    <w:rPr>
                                      <w:rFonts w:ascii="宋体" w:hAnsi="宋体"/>
                                      <w:kern w:val="0"/>
                                      <w:szCs w:val="18"/>
                                      <w:highlight w:val="yellow"/>
                                      <w:lang w:val="zh-CN"/>
                                    </w:rPr>
                                  </w:pPr>
                                  <w:r>
                                    <w:rPr>
                                      <w:rFonts w:hint="eastAsia" w:ascii="仿宋_GB2312" w:hAnsi="宋体" w:eastAsia="仿宋_GB2312"/>
                                      <w:b/>
                                      <w:bCs/>
                                      <w:kern w:val="0"/>
                                      <w:szCs w:val="18"/>
                                      <w:lang w:val="zh-CN"/>
                                    </w:rPr>
                                    <w:t>附表1：平安互联网康佑1.0特定疾病保险T款</w:t>
                                  </w:r>
                                  <w:r>
                                    <w:rPr>
                                      <w:rFonts w:hint="eastAsia" w:ascii="仿宋_GB2312" w:hAnsi="宋体" w:eastAsia="仿宋_GB2312"/>
                                      <w:b/>
                                      <w:bCs/>
                                      <w:kern w:val="0"/>
                                      <w:szCs w:val="18"/>
                                      <w:lang w:val="en-US" w:eastAsia="zh-CN"/>
                                    </w:rPr>
                                    <w:t>特定</w:t>
                                  </w:r>
                                  <w:r>
                                    <w:rPr>
                                      <w:rFonts w:ascii="仿宋_GB2312" w:hAnsi="宋体" w:eastAsia="仿宋_GB2312"/>
                                      <w:b/>
                                      <w:bCs/>
                                      <w:kern w:val="0"/>
                                      <w:szCs w:val="18"/>
                                      <w:lang w:val="zh-CN"/>
                                    </w:rPr>
                                    <w:t>疾病清单</w:t>
                                  </w:r>
                                </w:p>
                                <w:p w14:paraId="522E9D3D">
                                  <w:pPr>
                                    <w:autoSpaceDE w:val="0"/>
                                    <w:autoSpaceDN w:val="0"/>
                                    <w:adjustRightInd w:val="0"/>
                                    <w:spacing w:line="280" w:lineRule="exact"/>
                                    <w:ind w:left="210" w:leftChars="100"/>
                                    <w:jc w:val="left"/>
                                    <w:rPr>
                                      <w:rFonts w:ascii="宋体" w:hAnsi="宋体"/>
                                      <w:kern w:val="0"/>
                                      <w:szCs w:val="18"/>
                                      <w:lang w:val="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7.55pt;margin-top:4.15pt;height:344.5pt;width:210.9pt;z-index:251661312;mso-width-relative:page;mso-height-relative:page;" filled="f" stroked="f" coordsize="21600,21600" o:gfxdata="UEsDBAoAAAAAAIdO4kAAAAAAAAAAAAAAAAAEAAAAZHJzL1BLAwQUAAAACACHTuJATZzj7dcAAAAJ&#10;AQAADwAAAGRycy9kb3ducmV2LnhtbE2PzU7DMBCE70i8g7VI3Kgd2oY6ZNMDiCuI8iNxc+NtEhGv&#10;o9htwttjTvQ4mtHMN+V2dr040Rg6zwjZQoEgrr3tuEF4f3u62YAI0bA1vWdC+KEA2+ryojSF9RO/&#10;0mkXG5FKOBQGoY1xKKQMdUvOhIUfiJN38KMzMcmxkXY0Uyp3vbxVKpfOdJwWWjPQQ0v19+7oED6e&#10;D1+fK/XSPLr1MPlZSXZaIl5fZeoeRKQ5/ofhDz+hQ5WY9v7INogeYaXXWYoibJYgkq+zXIPYI+T6&#10;bgmyKuX5g+oXUEsDBBQAAAAIAIdO4kBXGZqvGAIAABYEAAAOAAAAZHJzL2Uyb0RvYy54bWytU81u&#10;EzEQviPxDpbvZJM0acMqm6o0KkIqP1LhARyvN2ux9pixk93wAPQNOHHhznPlORh70xDKpQculu0Z&#10;f/N934znl51p2Fah12ALPhoMOVNWQqntuuCfPt68mHHmg7ClaMCqgu+U55eL58/mrcvVGGpoSoWM&#10;QKzPW1fwOgSXZ5mXtTLCD8ApS8EK0IhAR1xnJYqW0E2TjYfD86wFLB2CVN7T7bIP8gMiPgUQqkpL&#10;tQS5McqGHhVVIwJJ8rV2ni8S26pSMryvKq8CawpOSkNaqQjtV3HNFnORr1G4WssDBfEUCo80GaEt&#10;FT1CLUUQbIP6HyijJYKHKgwkmKwXkhwhFaPhI2/uauFU0kJWe3c03f8/WPlu+wGZLgtObbfCUMP3&#10;3+/3P37tf35js2hP63xOWXeO8kL3CjoamiTVu1uQnz2zcF0Lu1ZXiNDWSpREbxRfZidPexwfQVbt&#10;WyipjtgESEBdhSZ6R24wQqfW7I6tUV1gki7H5xezyRmFJMUmZxfT0TQ1LxP5w3OHPrxWYFjcFByp&#10;9wlebG99iHRE/pASq1m40U2T+t/Yvy4oMd4k+pFxzz10q+5gxwrKHQlB6MeJPhNtasCvnLU0SgX3&#10;XzYCFWfNG0tmvBxNJnH20mEyvRjTAU8jq9OIsJKgCh4467fXoZ/XjUO9rqlSb7+FKzKw0kladLpn&#10;deBN45IUH0Y7zuPpOWX9+c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2c4+3XAAAACQEAAA8A&#10;AAAAAAAAAQAgAAAAIgAAAGRycy9kb3ducmV2LnhtbFBLAQIUABQAAAAIAIdO4kBXGZqvGAIAABYE&#10;AAAOAAAAAAAAAAEAIAAAACYBAABkcnMvZTJvRG9jLnhtbFBLBQYAAAAABgAGAFkBAACwBQAAAAA=&#10;">
                      <v:fill on="f" focussize="0,0"/>
                      <v:stroke on="f"/>
                      <v:imagedata o:title=""/>
                      <o:lock v:ext="edit" aspectratio="f"/>
                      <v:textbox>
                        <w:txbxContent>
                          <w:p w14:paraId="3F2366A8">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ascii="宋体" w:hAnsi="宋体"/>
                                <w:kern w:val="0"/>
                                <w:szCs w:val="18"/>
                                <w:lang w:val="zh-CN"/>
                              </w:rPr>
                              <w:t>.</w:t>
                            </w:r>
                            <w:r>
                              <w:rPr>
                                <w:rFonts w:hint="eastAsia" w:ascii="宋体" w:hAnsi="宋体"/>
                                <w:kern w:val="0"/>
                                <w:szCs w:val="18"/>
                                <w:lang w:val="zh-CN"/>
                              </w:rPr>
                              <w:t>4</w:t>
                            </w:r>
                            <w:r>
                              <w:rPr>
                                <w:rFonts w:ascii="宋体" w:hAnsi="宋体"/>
                                <w:kern w:val="0"/>
                                <w:szCs w:val="18"/>
                                <w:lang w:val="zh-CN"/>
                              </w:rPr>
                              <w:t xml:space="preserve"> </w:t>
                            </w:r>
                            <w:r>
                              <w:rPr>
                                <w:rFonts w:hint="eastAsia" w:ascii="仿宋_GB2312" w:hAnsi="宋体" w:eastAsia="仿宋_GB2312"/>
                                <w:kern w:val="0"/>
                                <w:szCs w:val="18"/>
                                <w:lang w:val="zh-CN"/>
                              </w:rPr>
                              <w:t>保险金的给付</w:t>
                            </w:r>
                          </w:p>
                          <w:p w14:paraId="4C262222">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5</w:t>
                            </w:r>
                            <w:r>
                              <w:rPr>
                                <w:rFonts w:hint="eastAsia" w:ascii="宋体" w:hAnsi="宋体"/>
                                <w:kern w:val="0"/>
                                <w:szCs w:val="18"/>
                                <w:lang w:val="zh-CN"/>
                              </w:rPr>
                              <w:t>.</w:t>
                            </w:r>
                            <w:r>
                              <w:rPr>
                                <w:rFonts w:ascii="宋体" w:hAnsi="宋体"/>
                                <w:kern w:val="0"/>
                                <w:szCs w:val="18"/>
                                <w:lang w:val="zh-CN"/>
                              </w:rPr>
                              <w:t xml:space="preserve">5 </w:t>
                            </w:r>
                            <w:r>
                              <w:rPr>
                                <w:rFonts w:ascii="仿宋_GB2312" w:hAnsi="宋体" w:eastAsia="仿宋_GB2312"/>
                                <w:kern w:val="0"/>
                                <w:szCs w:val="18"/>
                                <w:lang w:val="zh-CN"/>
                              </w:rPr>
                              <w:t>诉讼</w:t>
                            </w:r>
                            <w:r>
                              <w:rPr>
                                <w:rFonts w:hint="eastAsia" w:ascii="仿宋_GB2312" w:hAnsi="宋体" w:eastAsia="仿宋_GB2312"/>
                                <w:kern w:val="0"/>
                                <w:szCs w:val="18"/>
                                <w:lang w:val="zh-CN"/>
                              </w:rPr>
                              <w:t>时效</w:t>
                            </w:r>
                          </w:p>
                          <w:p w14:paraId="6DF849CA">
                            <w:pPr>
                              <w:autoSpaceDE w:val="0"/>
                              <w:autoSpaceDN w:val="0"/>
                              <w:adjustRightInd w:val="0"/>
                              <w:spacing w:line="280" w:lineRule="exact"/>
                              <w:jc w:val="left"/>
                              <w:rPr>
                                <w:rFonts w:ascii="仿宋_GB2312" w:hAnsi="宋体" w:eastAsia="仿宋_GB2312"/>
                                <w:b/>
                                <w:bCs/>
                                <w:kern w:val="0"/>
                                <w:szCs w:val="18"/>
                                <w:lang w:val="zh-CN"/>
                              </w:rPr>
                            </w:pPr>
                            <w:r>
                              <w:rPr>
                                <w:rFonts w:hint="eastAsia" w:ascii="宋体" w:hAnsi="宋体"/>
                                <w:b/>
                                <w:bCs/>
                                <w:kern w:val="0"/>
                                <w:szCs w:val="18"/>
                                <w:lang w:val="en-US" w:eastAsia="zh-CN"/>
                              </w:rPr>
                              <w:t>6</w:t>
                            </w:r>
                            <w:r>
                              <w:rPr>
                                <w:rFonts w:hint="eastAsia" w:ascii="宋体" w:hAnsi="宋体"/>
                                <w:b/>
                                <w:bCs/>
                                <w:kern w:val="0"/>
                                <w:szCs w:val="18"/>
                                <w:lang w:val="zh-CN"/>
                              </w:rPr>
                              <w:t>.</w:t>
                            </w:r>
                            <w:r>
                              <w:rPr>
                                <w:rFonts w:hint="eastAsia" w:ascii="仿宋_GB2312" w:hAnsi="宋体" w:eastAsia="仿宋_GB2312"/>
                                <w:b/>
                                <w:bCs/>
                                <w:kern w:val="0"/>
                                <w:szCs w:val="18"/>
                                <w:lang w:val="zh-CN"/>
                              </w:rPr>
                              <w:t>如何解除保险合同</w:t>
                            </w:r>
                          </w:p>
                          <w:p w14:paraId="6933C99C">
                            <w:pPr>
                              <w:spacing w:line="280" w:lineRule="exact"/>
                              <w:ind w:left="210" w:leftChars="100"/>
                              <w:jc w:val="left"/>
                              <w:rPr>
                                <w:rFonts w:ascii="仿宋_GB2312" w:hAnsi="宋体" w:eastAsia="仿宋_GB2312"/>
                                <w:kern w:val="0"/>
                                <w:szCs w:val="18"/>
                                <w:lang w:val="zh-CN"/>
                              </w:rPr>
                            </w:pPr>
                            <w:r>
                              <w:rPr>
                                <w:rFonts w:hint="eastAsia" w:ascii="宋体" w:hAnsi="宋体"/>
                                <w:kern w:val="0"/>
                                <w:szCs w:val="18"/>
                                <w:lang w:val="en-US" w:eastAsia="zh-CN"/>
                              </w:rPr>
                              <w:t>6</w:t>
                            </w:r>
                            <w:r>
                              <w:rPr>
                                <w:rFonts w:hint="eastAsia" w:ascii="宋体" w:hAnsi="宋体"/>
                                <w:kern w:val="0"/>
                                <w:szCs w:val="18"/>
                                <w:lang w:val="zh-CN"/>
                              </w:rPr>
                              <w:t>.1</w:t>
                            </w:r>
                            <w:r>
                              <w:rPr>
                                <w:rFonts w:ascii="宋体" w:hAnsi="宋体"/>
                                <w:kern w:val="0"/>
                                <w:szCs w:val="18"/>
                                <w:lang w:val="zh-CN"/>
                              </w:rPr>
                              <w:t xml:space="preserve"> </w:t>
                            </w:r>
                            <w:r>
                              <w:rPr>
                                <w:rFonts w:hint="eastAsia" w:ascii="仿宋_GB2312" w:hAnsi="宋体" w:eastAsia="仿宋_GB2312"/>
                                <w:kern w:val="0"/>
                                <w:szCs w:val="18"/>
                                <w:lang w:val="zh-CN"/>
                              </w:rPr>
                              <w:t>您解除合同的手续及风险</w:t>
                            </w:r>
                          </w:p>
                          <w:p w14:paraId="02CA5000">
                            <w:pPr>
                              <w:autoSpaceDE w:val="0"/>
                              <w:autoSpaceDN w:val="0"/>
                              <w:adjustRightInd w:val="0"/>
                              <w:spacing w:line="280" w:lineRule="exact"/>
                              <w:jc w:val="left"/>
                              <w:rPr>
                                <w:rFonts w:ascii="仿宋_GB2312" w:hAnsi="宋体" w:eastAsia="仿宋_GB2312"/>
                                <w:b/>
                                <w:bCs/>
                                <w:kern w:val="0"/>
                                <w:szCs w:val="18"/>
                                <w:lang w:val="zh-CN"/>
                              </w:rPr>
                            </w:pPr>
                            <w:r>
                              <w:rPr>
                                <w:rFonts w:hint="eastAsia" w:ascii="宋体" w:hAnsi="宋体"/>
                                <w:b/>
                                <w:bCs/>
                                <w:kern w:val="0"/>
                                <w:szCs w:val="18"/>
                                <w:lang w:val="en-US" w:eastAsia="zh-CN"/>
                              </w:rPr>
                              <w:t>7</w:t>
                            </w:r>
                            <w:r>
                              <w:rPr>
                                <w:rFonts w:hint="eastAsia" w:ascii="宋体" w:hAnsi="宋体"/>
                                <w:b/>
                                <w:bCs/>
                                <w:kern w:val="0"/>
                                <w:szCs w:val="18"/>
                                <w:lang w:val="zh-CN"/>
                              </w:rPr>
                              <w:t>.</w:t>
                            </w:r>
                            <w:r>
                              <w:rPr>
                                <w:rFonts w:hint="eastAsia" w:ascii="仿宋_GB2312" w:hAnsi="宋体" w:eastAsia="仿宋_GB2312"/>
                                <w:b/>
                                <w:bCs/>
                                <w:kern w:val="0"/>
                                <w:szCs w:val="18"/>
                                <w:lang w:val="zh-CN"/>
                              </w:rPr>
                              <w:t>其他需要关注的事项</w:t>
                            </w:r>
                          </w:p>
                          <w:p w14:paraId="266BB9D0">
                            <w:pPr>
                              <w:spacing w:line="280" w:lineRule="exact"/>
                              <w:ind w:left="210" w:leftChars="100"/>
                              <w:rPr>
                                <w:rFonts w:ascii="仿宋_GB2312" w:hAnsi="宋体" w:eastAsia="仿宋_GB2312"/>
                                <w:kern w:val="0"/>
                                <w:szCs w:val="18"/>
                                <w:lang w:val="zh-CN"/>
                              </w:rPr>
                            </w:pPr>
                            <w:r>
                              <w:rPr>
                                <w:rFonts w:hint="eastAsia" w:ascii="宋体" w:hAnsi="宋体"/>
                                <w:kern w:val="0"/>
                                <w:szCs w:val="18"/>
                                <w:lang w:val="en-US" w:eastAsia="zh-CN"/>
                              </w:rPr>
                              <w:t>7</w:t>
                            </w:r>
                            <w:r>
                              <w:rPr>
                                <w:rFonts w:ascii="宋体" w:hAnsi="宋体"/>
                                <w:kern w:val="0"/>
                                <w:szCs w:val="18"/>
                                <w:lang w:val="zh-CN"/>
                              </w:rPr>
                              <w:t xml:space="preserve">.1 </w:t>
                            </w:r>
                            <w:r>
                              <w:rPr>
                                <w:rFonts w:hint="eastAsia" w:ascii="仿宋_GB2312" w:hAnsi="宋体" w:eastAsia="仿宋_GB2312"/>
                                <w:kern w:val="0"/>
                                <w:szCs w:val="18"/>
                                <w:lang w:val="zh-CN"/>
                              </w:rPr>
                              <w:t>明确说明与如实告知</w:t>
                            </w:r>
                          </w:p>
                          <w:p w14:paraId="0DC421AE">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.2</w:t>
                            </w:r>
                            <w:r>
                              <w:rPr>
                                <w:rFonts w:ascii="宋体" w:hAnsi="宋体"/>
                                <w:kern w:val="0"/>
                                <w:szCs w:val="18"/>
                                <w:lang w:val="zh-CN"/>
                              </w:rPr>
                              <w:t xml:space="preserve"> </w:t>
                            </w:r>
                            <w:r>
                              <w:rPr>
                                <w:rFonts w:hint="eastAsia" w:ascii="仿宋_GB2312" w:hAnsi="宋体" w:eastAsia="仿宋_GB2312"/>
                                <w:kern w:val="0"/>
                                <w:szCs w:val="18"/>
                                <w:lang w:val="zh-CN"/>
                              </w:rPr>
                              <w:t>年龄与性别错误</w:t>
                            </w:r>
                          </w:p>
                          <w:p w14:paraId="424DBBE8">
                            <w:pPr>
                              <w:autoSpaceDE w:val="0"/>
                              <w:autoSpaceDN w:val="0"/>
                              <w:adjustRightInd w:val="0"/>
                              <w:spacing w:line="280" w:lineRule="exact"/>
                              <w:ind w:firstLine="210" w:firstLineChars="100"/>
                              <w:jc w:val="left"/>
                              <w:rPr>
                                <w:rFonts w:hint="default" w:ascii="宋体" w:hAnsi="宋体" w:eastAsia="宋体"/>
                                <w:kern w:val="0"/>
                                <w:szCs w:val="18"/>
                                <w:lang w:val="en-US" w:eastAsia="zh-CN"/>
                              </w:rPr>
                            </w:pPr>
                            <w:r>
                              <w:rPr>
                                <w:rFonts w:hint="eastAsia" w:ascii="宋体" w:hAnsi="宋体"/>
                                <w:kern w:val="0"/>
                                <w:szCs w:val="18"/>
                                <w:lang w:val="en-US" w:eastAsia="zh-CN"/>
                              </w:rPr>
                              <w:t>7</w:t>
                            </w:r>
                            <w:r>
                              <w:rPr>
                                <w:rFonts w:hint="eastAsia" w:ascii="宋体" w:hAnsi="宋体"/>
                                <w:kern w:val="0"/>
                                <w:szCs w:val="18"/>
                                <w:lang w:val="zh-CN"/>
                              </w:rPr>
                              <w:t>.3</w:t>
                            </w:r>
                            <w:r>
                              <w:rPr>
                                <w:rFonts w:ascii="宋体" w:hAnsi="宋体"/>
                                <w:kern w:val="0"/>
                                <w:szCs w:val="18"/>
                                <w:lang w:val="zh-CN"/>
                              </w:rPr>
                              <w:t xml:space="preserve"> </w:t>
                            </w:r>
                            <w:r>
                              <w:rPr>
                                <w:rFonts w:hint="eastAsia" w:ascii="仿宋_GB2312" w:hAnsi="仿宋_GB2312" w:eastAsia="仿宋_GB2312" w:cs="仿宋_GB2312"/>
                                <w:kern w:val="0"/>
                                <w:szCs w:val="18"/>
                                <w:lang w:val="en-US" w:eastAsia="zh-CN"/>
                              </w:rPr>
                              <w:t>减少基本保险金额</w:t>
                            </w:r>
                          </w:p>
                          <w:p w14:paraId="0776F889">
                            <w:pPr>
                              <w:autoSpaceDE w:val="0"/>
                              <w:autoSpaceDN w:val="0"/>
                              <w:adjustRightInd w:val="0"/>
                              <w:spacing w:line="280" w:lineRule="exact"/>
                              <w:ind w:firstLine="210" w:firstLineChars="100"/>
                              <w:jc w:val="left"/>
                              <w:rPr>
                                <w:rFonts w:hint="eastAsia" w:ascii="仿宋_GB2312" w:hAnsi="宋体" w:eastAsia="仿宋_GB2312"/>
                                <w:kern w:val="0"/>
                                <w:szCs w:val="18"/>
                                <w:lang w:val="en-US" w:eastAsia="zh-CN"/>
                              </w:rPr>
                            </w:pPr>
                            <w:r>
                              <w:rPr>
                                <w:rFonts w:hint="eastAsia" w:ascii="仿宋_GB2312" w:hAnsi="宋体" w:eastAsia="仿宋_GB2312"/>
                                <w:kern w:val="0"/>
                                <w:szCs w:val="18"/>
                                <w:lang w:val="en-US" w:eastAsia="zh-CN"/>
                              </w:rPr>
                              <w:t>7.4 职业或工种变更</w:t>
                            </w:r>
                          </w:p>
                          <w:p w14:paraId="384CD4C5">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仿宋_GB2312" w:hAnsi="宋体" w:eastAsia="仿宋_GB2312"/>
                                <w:kern w:val="0"/>
                                <w:szCs w:val="18"/>
                                <w:lang w:val="en-US" w:eastAsia="zh-CN"/>
                              </w:rPr>
                              <w:t xml:space="preserve">7.5 </w:t>
                            </w:r>
                            <w:r>
                              <w:rPr>
                                <w:rFonts w:hint="eastAsia" w:ascii="仿宋_GB2312" w:hAnsi="宋体" w:eastAsia="仿宋_GB2312"/>
                                <w:kern w:val="0"/>
                                <w:szCs w:val="18"/>
                                <w:lang w:val="zh-CN"/>
                              </w:rPr>
                              <w:t>未还款项</w:t>
                            </w:r>
                          </w:p>
                          <w:p w14:paraId="768B6B1F">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6</w:t>
                            </w:r>
                            <w:r>
                              <w:rPr>
                                <w:rFonts w:ascii="宋体" w:hAnsi="宋体"/>
                                <w:kern w:val="0"/>
                                <w:szCs w:val="18"/>
                                <w:lang w:val="zh-CN"/>
                              </w:rPr>
                              <w:t xml:space="preserve"> </w:t>
                            </w:r>
                            <w:r>
                              <w:rPr>
                                <w:rFonts w:hint="eastAsia" w:ascii="仿宋_GB2312" w:hAnsi="宋体" w:eastAsia="仿宋_GB2312"/>
                                <w:kern w:val="0"/>
                                <w:szCs w:val="18"/>
                                <w:lang w:val="zh-CN"/>
                              </w:rPr>
                              <w:t>合同内容变更</w:t>
                            </w:r>
                          </w:p>
                          <w:p w14:paraId="5D997122">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7</w:t>
                            </w:r>
                            <w:r>
                              <w:rPr>
                                <w:rFonts w:ascii="宋体" w:hAnsi="宋体"/>
                                <w:kern w:val="0"/>
                                <w:szCs w:val="18"/>
                                <w:lang w:val="zh-CN"/>
                              </w:rPr>
                              <w:t xml:space="preserve"> </w:t>
                            </w:r>
                            <w:r>
                              <w:rPr>
                                <w:rFonts w:hint="eastAsia" w:ascii="仿宋_GB2312" w:hAnsi="宋体" w:eastAsia="仿宋_GB2312"/>
                                <w:kern w:val="0"/>
                                <w:szCs w:val="18"/>
                                <w:lang w:val="zh-CN"/>
                              </w:rPr>
                              <w:t>联系方式变更</w:t>
                            </w:r>
                          </w:p>
                          <w:p w14:paraId="6295FC57">
                            <w:pPr>
                              <w:autoSpaceDE w:val="0"/>
                              <w:autoSpaceDN w:val="0"/>
                              <w:adjustRightInd w:val="0"/>
                              <w:spacing w:line="280" w:lineRule="exact"/>
                              <w:ind w:firstLine="210" w:firstLineChars="100"/>
                              <w:jc w:val="left"/>
                              <w:rPr>
                                <w:rFonts w:ascii="仿宋_GB2312" w:hAnsi="宋体" w:eastAsia="仿宋_GB2312"/>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8</w:t>
                            </w:r>
                            <w:r>
                              <w:rPr>
                                <w:rFonts w:hint="eastAsia" w:ascii="仿宋_GB2312" w:hAnsi="宋体" w:eastAsia="仿宋_GB2312"/>
                                <w:kern w:val="0"/>
                                <w:szCs w:val="18"/>
                                <w:lang w:val="zh-CN"/>
                              </w:rPr>
                              <w:t xml:space="preserve"> 效力</w:t>
                            </w:r>
                            <w:r>
                              <w:rPr>
                                <w:rFonts w:ascii="仿宋_GB2312" w:hAnsi="宋体" w:eastAsia="仿宋_GB2312"/>
                                <w:kern w:val="0"/>
                                <w:szCs w:val="18"/>
                                <w:lang w:val="zh-CN"/>
                              </w:rPr>
                              <w:t>终止</w:t>
                            </w:r>
                          </w:p>
                          <w:p w14:paraId="2EFE9163">
                            <w:pPr>
                              <w:autoSpaceDE w:val="0"/>
                              <w:autoSpaceDN w:val="0"/>
                              <w:adjustRightInd w:val="0"/>
                              <w:spacing w:line="280" w:lineRule="exact"/>
                              <w:ind w:firstLine="210" w:firstLineChars="100"/>
                              <w:jc w:val="left"/>
                              <w:rPr>
                                <w:rFonts w:ascii="仿宋_GB2312" w:hAnsi="宋体" w:eastAsia="仿宋_GB2312"/>
                                <w:color w:val="FF0000"/>
                                <w:kern w:val="0"/>
                                <w:szCs w:val="18"/>
                                <w:lang w:val="zh-CN"/>
                              </w:rPr>
                            </w:pPr>
                            <w:r>
                              <w:rPr>
                                <w:rFonts w:hint="eastAsia" w:ascii="宋体" w:hAnsi="宋体"/>
                                <w:kern w:val="0"/>
                                <w:szCs w:val="18"/>
                                <w:lang w:val="en-US" w:eastAsia="zh-CN"/>
                              </w:rPr>
                              <w:t>7</w:t>
                            </w:r>
                            <w:r>
                              <w:rPr>
                                <w:rFonts w:hint="eastAsia" w:ascii="宋体" w:hAnsi="宋体"/>
                                <w:kern w:val="0"/>
                                <w:szCs w:val="18"/>
                                <w:lang w:val="zh-CN"/>
                              </w:rPr>
                              <w:t>.</w:t>
                            </w:r>
                            <w:r>
                              <w:rPr>
                                <w:rFonts w:hint="eastAsia" w:ascii="宋体" w:hAnsi="宋体"/>
                                <w:kern w:val="0"/>
                                <w:szCs w:val="18"/>
                                <w:lang w:val="en-US" w:eastAsia="zh-CN"/>
                              </w:rPr>
                              <w:t>9</w:t>
                            </w:r>
                            <w:r>
                              <w:rPr>
                                <w:rFonts w:hint="eastAsia" w:ascii="仿宋_GB2312" w:hAnsi="宋体" w:eastAsia="仿宋_GB2312"/>
                                <w:kern w:val="0"/>
                                <w:szCs w:val="18"/>
                                <w:lang w:val="zh-CN"/>
                              </w:rPr>
                              <w:t xml:space="preserve"> 争议处理</w:t>
                            </w:r>
                          </w:p>
                          <w:p w14:paraId="771C5F80">
                            <w:pPr>
                              <w:jc w:val="left"/>
                              <w:rPr>
                                <w:rFonts w:ascii="仿宋_GB2312" w:hAnsi="宋体" w:eastAsia="仿宋_GB2312"/>
                                <w:b/>
                                <w:bCs/>
                                <w:kern w:val="0"/>
                                <w:szCs w:val="18"/>
                                <w:lang w:val="zh-CN"/>
                              </w:rPr>
                            </w:pPr>
                          </w:p>
                          <w:p w14:paraId="14350C89">
                            <w:pPr>
                              <w:jc w:val="left"/>
                              <w:rPr>
                                <w:rFonts w:ascii="宋体" w:hAnsi="宋体"/>
                                <w:kern w:val="0"/>
                                <w:szCs w:val="18"/>
                                <w:highlight w:val="yellow"/>
                                <w:lang w:val="zh-CN"/>
                              </w:rPr>
                            </w:pPr>
                            <w:r>
                              <w:rPr>
                                <w:rFonts w:hint="eastAsia" w:ascii="仿宋_GB2312" w:hAnsi="宋体" w:eastAsia="仿宋_GB2312"/>
                                <w:b/>
                                <w:bCs/>
                                <w:kern w:val="0"/>
                                <w:szCs w:val="18"/>
                                <w:lang w:val="zh-CN"/>
                              </w:rPr>
                              <w:t>附表1：平安互联网康佑1.0特定疾病保险T款</w:t>
                            </w:r>
                            <w:r>
                              <w:rPr>
                                <w:rFonts w:hint="eastAsia" w:ascii="仿宋_GB2312" w:hAnsi="宋体" w:eastAsia="仿宋_GB2312"/>
                                <w:b/>
                                <w:bCs/>
                                <w:kern w:val="0"/>
                                <w:szCs w:val="18"/>
                                <w:lang w:val="en-US" w:eastAsia="zh-CN"/>
                              </w:rPr>
                              <w:t>特定</w:t>
                            </w:r>
                            <w:r>
                              <w:rPr>
                                <w:rFonts w:ascii="仿宋_GB2312" w:hAnsi="宋体" w:eastAsia="仿宋_GB2312"/>
                                <w:b/>
                                <w:bCs/>
                                <w:kern w:val="0"/>
                                <w:szCs w:val="18"/>
                                <w:lang w:val="zh-CN"/>
                              </w:rPr>
                              <w:t>疾病清单</w:t>
                            </w:r>
                          </w:p>
                          <w:p w14:paraId="522E9D3D">
                            <w:pPr>
                              <w:autoSpaceDE w:val="0"/>
                              <w:autoSpaceDN w:val="0"/>
                              <w:adjustRightInd w:val="0"/>
                              <w:spacing w:line="280" w:lineRule="exact"/>
                              <w:ind w:left="210" w:leftChars="100"/>
                              <w:jc w:val="left"/>
                              <w:rPr>
                                <w:rFonts w:ascii="宋体" w:hAnsi="宋体"/>
                                <w:kern w:val="0"/>
                                <w:szCs w:val="18"/>
                                <w:lang w:val="zh-CN"/>
                              </w:rPr>
                            </w:pPr>
                          </w:p>
                        </w:txbxContent>
                      </v:textbox>
                    </v:shape>
                  </w:pict>
                </mc:Fallback>
              </mc:AlternateContent>
            </w:r>
          </w:p>
          <w:p w14:paraId="7F85E318">
            <w:pPr>
              <w:autoSpaceDE w:val="0"/>
              <w:autoSpaceDN w:val="0"/>
              <w:adjustRightInd w:val="0"/>
              <w:spacing w:line="400" w:lineRule="exact"/>
            </w:pPr>
          </w:p>
        </w:tc>
      </w:tr>
    </w:tbl>
    <w:p w14:paraId="3A7839C3">
      <w:pPr>
        <w:jc w:val="center"/>
        <w:rPr>
          <w:rFonts w:ascii="华文中宋" w:hAnsi="华文中宋" w:eastAsia="华文中宋"/>
          <w:b/>
          <w:color w:val="000000" w:themeColor="text1"/>
          <w14:textFill>
            <w14:solidFill>
              <w14:schemeClr w14:val="tx1"/>
            </w14:solidFill>
          </w14:textFill>
        </w:rPr>
      </w:pPr>
      <w:r>
        <w:rPr>
          <w:rFonts w:hint="eastAsia" w:ascii="华文中宋" w:hAnsi="华文中宋" w:eastAsia="华文中宋"/>
          <w:b/>
          <w:color w:val="000000" w:themeColor="text1"/>
          <w:sz w:val="32"/>
          <w:lang w:eastAsia="zh-CN"/>
          <w14:textFill>
            <w14:solidFill>
              <w14:schemeClr w14:val="tx1"/>
            </w14:solidFill>
          </w14:textFill>
        </w:rPr>
        <w:t>平安互联网康佑1.0特定疾病保险T款</w:t>
      </w:r>
      <w:r>
        <w:rPr>
          <w:rFonts w:ascii="华文中宋" w:hAnsi="华文中宋" w:eastAsia="华文中宋"/>
          <w:b/>
          <w:color w:val="000000" w:themeColor="text1"/>
          <w:sz w:val="32"/>
          <w:szCs w:val="24"/>
          <w14:textFill>
            <w14:solidFill>
              <w14:schemeClr w14:val="tx1"/>
            </w14:solidFill>
          </w14:textFill>
        </w:rPr>
        <w:t>条款</w:t>
      </w:r>
    </w:p>
    <w:p w14:paraId="314CB4B9">
      <w:pPr>
        <w:jc w:val="left"/>
        <w:rPr>
          <w:rFonts w:ascii="宋体" w:hAnsi="宋体"/>
          <w:color w:val="000000" w:themeColor="text1"/>
          <w:szCs w:val="24"/>
          <w14:textFill>
            <w14:solidFill>
              <w14:schemeClr w14:val="tx1"/>
            </w14:solidFill>
          </w14:textFill>
        </w:rPr>
      </w:pPr>
    </w:p>
    <w:p w14:paraId="66BDF09A">
      <w:pPr>
        <w:jc w:val="left"/>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在本条款中，“您”指</w:t>
      </w:r>
      <w:r>
        <w:rPr>
          <w:rFonts w:hint="eastAsia" w:ascii="宋体" w:hAnsi="宋体"/>
          <w:color w:val="000000" w:themeColor="text1"/>
          <w:szCs w:val="24"/>
          <w14:textFill>
            <w14:solidFill>
              <w14:schemeClr w14:val="tx1"/>
            </w14:solidFill>
          </w14:textFill>
        </w:rPr>
        <w:t>投保人</w:t>
      </w:r>
      <w:r>
        <w:rPr>
          <w:rFonts w:ascii="宋体" w:hAnsi="宋体"/>
          <w:color w:val="000000" w:themeColor="text1"/>
          <w:szCs w:val="24"/>
          <w14:textFill>
            <w14:solidFill>
              <w14:schemeClr w14:val="tx1"/>
            </w14:solidFill>
          </w14:textFill>
        </w:rPr>
        <w:t>，“我们”、“</w:t>
      </w:r>
      <w:r>
        <w:rPr>
          <w:rFonts w:hint="eastAsia" w:ascii="宋体" w:hAnsi="宋体"/>
          <w:color w:val="000000" w:themeColor="text1"/>
          <w:szCs w:val="24"/>
          <w14:textFill>
            <w14:solidFill>
              <w14:schemeClr w14:val="tx1"/>
            </w14:solidFill>
          </w14:textFill>
        </w:rPr>
        <w:t>本公司</w:t>
      </w:r>
      <w:r>
        <w:rPr>
          <w:rFonts w:ascii="宋体" w:hAnsi="宋体"/>
          <w:color w:val="000000" w:themeColor="text1"/>
          <w:szCs w:val="24"/>
          <w14:textFill>
            <w14:solidFill>
              <w14:schemeClr w14:val="tx1"/>
            </w14:solidFill>
          </w14:textFill>
        </w:rPr>
        <w:t>”均指</w:t>
      </w:r>
      <w:r>
        <w:rPr>
          <w:rFonts w:hint="eastAsia" w:ascii="宋体" w:hAnsi="宋体"/>
          <w:color w:val="000000" w:themeColor="text1"/>
          <w:szCs w:val="24"/>
          <w14:textFill>
            <w14:solidFill>
              <w14:schemeClr w14:val="tx1"/>
            </w14:solidFill>
          </w14:textFill>
        </w:rPr>
        <w:t>平安健康保险股份有限公司</w:t>
      </w:r>
      <w:r>
        <w:rPr>
          <w:rFonts w:ascii="宋体" w:hAnsi="宋体"/>
          <w:color w:val="000000" w:themeColor="text1"/>
          <w:szCs w:val="24"/>
          <w14:textFill>
            <w14:solidFill>
              <w14:schemeClr w14:val="tx1"/>
            </w14:solidFill>
          </w14:textFill>
        </w:rPr>
        <w:t>。</w:t>
      </w:r>
    </w:p>
    <w:tbl>
      <w:tblPr>
        <w:tblStyle w:val="15"/>
        <w:tblW w:w="4848" w:type="pct"/>
        <w:tblInd w:w="78" w:type="dxa"/>
        <w:tblLayout w:type="fixed"/>
        <w:tblCellMar>
          <w:top w:w="0" w:type="dxa"/>
          <w:left w:w="108" w:type="dxa"/>
          <w:bottom w:w="0" w:type="dxa"/>
          <w:right w:w="108" w:type="dxa"/>
        </w:tblCellMar>
      </w:tblPr>
      <w:tblGrid>
        <w:gridCol w:w="1080"/>
        <w:gridCol w:w="1882"/>
        <w:gridCol w:w="6812"/>
      </w:tblGrid>
      <w:tr w14:paraId="3D4879C3">
        <w:tblPrEx>
          <w:tblCellMar>
            <w:top w:w="0" w:type="dxa"/>
            <w:left w:w="108" w:type="dxa"/>
            <w:bottom w:w="0" w:type="dxa"/>
            <w:right w:w="108" w:type="dxa"/>
          </w:tblCellMar>
        </w:tblPrEx>
        <w:trPr>
          <w:trHeight w:val="340" w:hRule="exact"/>
        </w:trPr>
        <w:tc>
          <w:tcPr>
            <w:tcW w:w="552" w:type="pct"/>
          </w:tcPr>
          <w:p w14:paraId="1FC42428">
            <w:pPr>
              <w:rPr>
                <w:rFonts w:ascii="宋体" w:hAnsi="宋体"/>
                <w:color w:val="000000" w:themeColor="text1"/>
                <w:szCs w:val="24"/>
                <w14:textFill>
                  <w14:solidFill>
                    <w14:schemeClr w14:val="tx1"/>
                  </w14:solidFill>
                </w14:textFill>
              </w:rPr>
            </w:pPr>
          </w:p>
        </w:tc>
        <w:tc>
          <w:tcPr>
            <w:tcW w:w="962" w:type="pct"/>
          </w:tcPr>
          <w:p w14:paraId="42ABCEB3">
            <w:pPr>
              <w:rPr>
                <w:rFonts w:ascii="宋体" w:hAnsi="宋体"/>
                <w:color w:val="000000" w:themeColor="text1"/>
                <w:szCs w:val="24"/>
                <w14:textFill>
                  <w14:solidFill>
                    <w14:schemeClr w14:val="tx1"/>
                  </w14:solidFill>
                </w14:textFill>
              </w:rPr>
            </w:pPr>
          </w:p>
        </w:tc>
        <w:tc>
          <w:tcPr>
            <w:tcW w:w="3484" w:type="pct"/>
          </w:tcPr>
          <w:p w14:paraId="54257D65">
            <w:pPr>
              <w:rPr>
                <w:rFonts w:ascii="宋体" w:hAnsi="宋体"/>
                <w:color w:val="000000" w:themeColor="text1"/>
                <w:szCs w:val="24"/>
                <w14:textFill>
                  <w14:solidFill>
                    <w14:schemeClr w14:val="tx1"/>
                  </w14:solidFill>
                </w14:textFill>
              </w:rPr>
            </w:pPr>
          </w:p>
        </w:tc>
      </w:tr>
      <w:tr w14:paraId="217E0E01">
        <w:tblPrEx>
          <w:tblCellMar>
            <w:top w:w="0" w:type="dxa"/>
            <w:left w:w="108" w:type="dxa"/>
            <w:bottom w:w="0" w:type="dxa"/>
            <w:right w:w="108" w:type="dxa"/>
          </w:tblCellMar>
        </w:tblPrEx>
        <w:tc>
          <w:tcPr>
            <w:tcW w:w="552" w:type="pct"/>
            <w:tcBorders>
              <w:bottom w:val="single" w:color="auto" w:sz="4" w:space="0"/>
            </w:tcBorders>
          </w:tcPr>
          <w:p w14:paraId="2074012A">
            <w:pPr>
              <w:adjustRightInd w:val="0"/>
              <w:snapToGrid w:val="0"/>
              <w:jc w:val="center"/>
              <w:rPr>
                <w:rFonts w:hint="eastAsia" w:ascii="Wingdings 2" w:hAnsi="Wingdings 2"/>
                <w:b/>
                <w:color w:val="000000" w:themeColor="text1"/>
                <w:sz w:val="40"/>
                <w14:textFill>
                  <w14:solidFill>
                    <w14:schemeClr w14:val="tx1"/>
                  </w14:solidFill>
                </w14:textFill>
              </w:rPr>
            </w:pPr>
            <w:r>
              <w:rPr>
                <w:rFonts w:ascii="Wingdings 2" w:hAnsi="Wingdings 2"/>
                <w:b/>
                <w:sz w:val="40"/>
              </w:rPr>
              <w:sym w:font="Wingdings 2" w:char="F075"/>
            </w:r>
          </w:p>
        </w:tc>
        <w:tc>
          <w:tcPr>
            <w:tcW w:w="4447" w:type="pct"/>
            <w:gridSpan w:val="2"/>
            <w:tcBorders>
              <w:bottom w:val="single" w:color="auto" w:sz="4" w:space="0"/>
            </w:tcBorders>
            <w:vAlign w:val="center"/>
          </w:tcPr>
          <w:p w14:paraId="1D5D5B23">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您与我们的合同</w:t>
            </w:r>
          </w:p>
        </w:tc>
      </w:tr>
      <w:tr w14:paraId="6EBDDACC">
        <w:tblPrEx>
          <w:tblCellMar>
            <w:top w:w="0" w:type="dxa"/>
            <w:left w:w="108" w:type="dxa"/>
            <w:bottom w:w="0" w:type="dxa"/>
            <w:right w:w="108" w:type="dxa"/>
          </w:tblCellMar>
        </w:tblPrEx>
        <w:tc>
          <w:tcPr>
            <w:tcW w:w="552" w:type="pct"/>
          </w:tcPr>
          <w:p w14:paraId="7BEC105B">
            <w:pPr>
              <w:jc w:val="center"/>
              <w:rPr>
                <w:rFonts w:ascii="宋体" w:hAnsi="宋体"/>
                <w:b/>
                <w:color w:val="000000" w:themeColor="text1"/>
                <w:szCs w:val="24"/>
                <w14:textFill>
                  <w14:solidFill>
                    <w14:schemeClr w14:val="tx1"/>
                  </w14:solidFill>
                </w14:textFill>
              </w:rPr>
            </w:pPr>
          </w:p>
        </w:tc>
        <w:tc>
          <w:tcPr>
            <w:tcW w:w="962" w:type="pct"/>
          </w:tcPr>
          <w:p w14:paraId="2A3C64A7">
            <w:pPr>
              <w:rPr>
                <w:rFonts w:ascii="宋体" w:hAnsi="宋体"/>
                <w:b/>
                <w:color w:val="000000" w:themeColor="text1"/>
                <w:szCs w:val="24"/>
                <w14:textFill>
                  <w14:solidFill>
                    <w14:schemeClr w14:val="tx1"/>
                  </w14:solidFill>
                </w14:textFill>
              </w:rPr>
            </w:pPr>
          </w:p>
        </w:tc>
        <w:tc>
          <w:tcPr>
            <w:tcW w:w="3484" w:type="pct"/>
          </w:tcPr>
          <w:p w14:paraId="69EE1C3A">
            <w:pPr>
              <w:rPr>
                <w:rFonts w:ascii="宋体" w:hAnsi="宋体"/>
                <w:color w:val="000000" w:themeColor="text1"/>
                <w:szCs w:val="24"/>
                <w14:textFill>
                  <w14:solidFill>
                    <w14:schemeClr w14:val="tx1"/>
                  </w14:solidFill>
                </w14:textFill>
              </w:rPr>
            </w:pPr>
          </w:p>
        </w:tc>
      </w:tr>
      <w:tr w14:paraId="2B52E71A">
        <w:tblPrEx>
          <w:tblCellMar>
            <w:top w:w="0" w:type="dxa"/>
            <w:left w:w="108" w:type="dxa"/>
            <w:bottom w:w="0" w:type="dxa"/>
            <w:right w:w="108" w:type="dxa"/>
          </w:tblCellMar>
        </w:tblPrEx>
        <w:tc>
          <w:tcPr>
            <w:tcW w:w="552" w:type="pct"/>
          </w:tcPr>
          <w:p w14:paraId="047FBC60">
            <w:pPr>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1.</w:t>
            </w:r>
            <w:r>
              <w:rPr>
                <w:rFonts w:hint="eastAsia" w:ascii="宋体" w:hAnsi="宋体"/>
                <w:b/>
                <w:color w:val="000000" w:themeColor="text1"/>
                <w:szCs w:val="24"/>
                <w14:textFill>
                  <w14:solidFill>
                    <w14:schemeClr w14:val="tx1"/>
                  </w14:solidFill>
                </w14:textFill>
              </w:rPr>
              <w:t>1</w:t>
            </w:r>
          </w:p>
        </w:tc>
        <w:tc>
          <w:tcPr>
            <w:tcW w:w="962" w:type="pct"/>
          </w:tcPr>
          <w:p w14:paraId="336A5085">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合同构成</w:t>
            </w:r>
          </w:p>
        </w:tc>
        <w:tc>
          <w:tcPr>
            <w:tcW w:w="3484" w:type="pct"/>
          </w:tcPr>
          <w:p w14:paraId="109FC726">
            <w:pPr>
              <w:jc w:val="left"/>
              <w:rPr>
                <w:rFonts w:ascii="宋体" w:hAnsi="宋体" w:cs="宋体"/>
              </w:rPr>
            </w:pPr>
            <w:r>
              <w:rPr>
                <w:rFonts w:hint="eastAsia" w:ascii="宋体" w:hAnsi="宋体" w:cs="宋体"/>
              </w:rPr>
              <w:t>本保险条款、保险合同、保险单或其他保险凭证、产品说明书、投保书、与保险合同有关的投保文件、合法有效的声明、批注、批单、附加险合同、其他书面或电子协议都是您与我们之间订立的保险合同的构成部分。</w:t>
            </w:r>
          </w:p>
          <w:p w14:paraId="5CA7C58F">
            <w:pPr>
              <w:jc w:val="left"/>
              <w:rPr>
                <w:rFonts w:ascii="宋体"/>
                <w:color w:val="000000" w:themeColor="text1"/>
                <w14:textFill>
                  <w14:solidFill>
                    <w14:schemeClr w14:val="tx1"/>
                  </w14:solidFill>
                </w14:textFill>
              </w:rPr>
            </w:pPr>
            <w:r>
              <w:rPr>
                <w:rFonts w:hint="eastAsia" w:ascii="宋体" w:hAnsi="宋体" w:cs="宋体"/>
              </w:rPr>
              <w:t>“</w:t>
            </w:r>
            <w:r>
              <w:rPr>
                <w:rFonts w:hint="eastAsia" w:ascii="宋体" w:hAnsi="宋体" w:cs="宋体"/>
                <w:lang w:eastAsia="zh-CN"/>
              </w:rPr>
              <w:t>平安互联网康佑1.0特定疾病保险T款</w:t>
            </w:r>
            <w:r>
              <w:rPr>
                <w:rFonts w:hint="eastAsia" w:ascii="宋体" w:hAnsi="宋体" w:cs="宋体"/>
              </w:rPr>
              <w:t>合同”以下简称为“本主险合同”。</w:t>
            </w:r>
          </w:p>
        </w:tc>
      </w:tr>
      <w:tr w14:paraId="3471412A">
        <w:tblPrEx>
          <w:tblCellMar>
            <w:top w:w="0" w:type="dxa"/>
            <w:left w:w="108" w:type="dxa"/>
            <w:bottom w:w="0" w:type="dxa"/>
            <w:right w:w="108" w:type="dxa"/>
          </w:tblCellMar>
        </w:tblPrEx>
        <w:tc>
          <w:tcPr>
            <w:tcW w:w="552" w:type="pct"/>
          </w:tcPr>
          <w:p w14:paraId="2678965B">
            <w:pPr>
              <w:jc w:val="center"/>
              <w:rPr>
                <w:rFonts w:ascii="宋体" w:hAnsi="宋体"/>
                <w:b/>
                <w:color w:val="000000" w:themeColor="text1"/>
                <w:szCs w:val="24"/>
                <w14:textFill>
                  <w14:solidFill>
                    <w14:schemeClr w14:val="tx1"/>
                  </w14:solidFill>
                </w14:textFill>
              </w:rPr>
            </w:pPr>
          </w:p>
        </w:tc>
        <w:tc>
          <w:tcPr>
            <w:tcW w:w="962" w:type="pct"/>
          </w:tcPr>
          <w:p w14:paraId="7B2CE697">
            <w:pPr>
              <w:rPr>
                <w:rFonts w:ascii="宋体" w:hAnsi="宋体"/>
                <w:b/>
                <w:color w:val="000000" w:themeColor="text1"/>
                <w:szCs w:val="24"/>
                <w14:textFill>
                  <w14:solidFill>
                    <w14:schemeClr w14:val="tx1"/>
                  </w14:solidFill>
                </w14:textFill>
              </w:rPr>
            </w:pPr>
          </w:p>
        </w:tc>
        <w:tc>
          <w:tcPr>
            <w:tcW w:w="3484" w:type="pct"/>
          </w:tcPr>
          <w:p w14:paraId="04971E47">
            <w:pPr>
              <w:jc w:val="left"/>
              <w:rPr>
                <w:rFonts w:ascii="宋体" w:hAnsi="宋体"/>
                <w:color w:val="000000" w:themeColor="text1"/>
                <w:szCs w:val="24"/>
                <w14:textFill>
                  <w14:solidFill>
                    <w14:schemeClr w14:val="tx1"/>
                  </w14:solidFill>
                </w14:textFill>
              </w:rPr>
            </w:pPr>
          </w:p>
        </w:tc>
      </w:tr>
      <w:tr w14:paraId="60225AE8">
        <w:tblPrEx>
          <w:tblCellMar>
            <w:top w:w="0" w:type="dxa"/>
            <w:left w:w="108" w:type="dxa"/>
            <w:bottom w:w="0" w:type="dxa"/>
            <w:right w:w="108" w:type="dxa"/>
          </w:tblCellMar>
        </w:tblPrEx>
        <w:trPr>
          <w:trHeight w:val="90" w:hRule="atLeast"/>
        </w:trPr>
        <w:tc>
          <w:tcPr>
            <w:tcW w:w="552" w:type="pct"/>
          </w:tcPr>
          <w:p w14:paraId="77DDCB03">
            <w:pPr>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1.</w:t>
            </w:r>
            <w:r>
              <w:rPr>
                <w:rFonts w:hint="eastAsia" w:ascii="宋体" w:hAnsi="宋体"/>
                <w:b/>
                <w:color w:val="000000" w:themeColor="text1"/>
                <w:szCs w:val="24"/>
                <w14:textFill>
                  <w14:solidFill>
                    <w14:schemeClr w14:val="tx1"/>
                  </w14:solidFill>
                </w14:textFill>
              </w:rPr>
              <w:t>2</w:t>
            </w:r>
          </w:p>
        </w:tc>
        <w:tc>
          <w:tcPr>
            <w:tcW w:w="962" w:type="pct"/>
          </w:tcPr>
          <w:p w14:paraId="12C21B5E">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合同成立与生效</w:t>
            </w:r>
          </w:p>
        </w:tc>
        <w:tc>
          <w:tcPr>
            <w:tcW w:w="3484" w:type="pct"/>
          </w:tcPr>
          <w:p w14:paraId="3BA0A091">
            <w:pPr>
              <w:autoSpaceDE w:val="0"/>
              <w:autoSpaceDN w:val="0"/>
              <w:adjustRightInd w:val="0"/>
              <w:jc w:val="left"/>
              <w:rPr>
                <w:rFonts w:ascii="宋体"/>
                <w:color w:val="000000" w:themeColor="text1"/>
                <w14:textFill>
                  <w14:solidFill>
                    <w14:schemeClr w14:val="tx1"/>
                  </w14:solidFill>
                </w14:textFill>
              </w:rPr>
            </w:pPr>
            <w:r>
              <w:rPr>
                <w:rFonts w:hint="eastAsia" w:ascii="宋体" w:hAnsi="宋体" w:cs="宋体"/>
              </w:rPr>
              <w:t>您提出投保申请，我们审核您的投保申请和被保险人健康状况后同意承保，本主险合同成立。</w:t>
            </w:r>
          </w:p>
          <w:p w14:paraId="1C3CB617">
            <w:pPr>
              <w:jc w:val="left"/>
              <w:rPr>
                <w:rFonts w:ascii="宋体"/>
                <w:color w:val="000000" w:themeColor="text1"/>
                <w14:textFill>
                  <w14:solidFill>
                    <w14:schemeClr w14:val="tx1"/>
                  </w14:solidFill>
                </w14:textFill>
              </w:rPr>
            </w:pPr>
            <w:r>
              <w:rPr>
                <w:rFonts w:hint="eastAsia" w:ascii="宋体" w:hAnsi="宋体" w:cs="宋体"/>
              </w:rPr>
              <w:t>本主险合同自我们同意承保，并签发保险合同时开始生效，</w:t>
            </w:r>
            <w:r>
              <w:rPr>
                <w:rFonts w:hint="eastAsia" w:ascii="宋体" w:hAnsi="宋体" w:cs="宋体"/>
                <w:shd w:val="clear" w:color="FFFFFF" w:fill="D9D9D9"/>
              </w:rPr>
              <w:t>我们承担保险责任的时间以保险合同记载的保险期间为准</w:t>
            </w:r>
            <w:r>
              <w:rPr>
                <w:rFonts w:hint="eastAsia" w:ascii="宋体"/>
                <w:color w:val="000000" w:themeColor="text1"/>
                <w:shd w:val="clear" w:color="FFFFFF" w:fill="D9D9D9"/>
                <w14:textFill>
                  <w14:solidFill>
                    <w14:schemeClr w14:val="tx1"/>
                  </w14:solidFill>
                </w14:textFill>
              </w:rPr>
              <w:t>。</w:t>
            </w:r>
          </w:p>
        </w:tc>
      </w:tr>
      <w:tr w14:paraId="3C3B803E">
        <w:tblPrEx>
          <w:tblCellMar>
            <w:top w:w="0" w:type="dxa"/>
            <w:left w:w="108" w:type="dxa"/>
            <w:bottom w:w="0" w:type="dxa"/>
            <w:right w:w="108" w:type="dxa"/>
          </w:tblCellMar>
        </w:tblPrEx>
        <w:tc>
          <w:tcPr>
            <w:tcW w:w="552" w:type="pct"/>
          </w:tcPr>
          <w:p w14:paraId="21066C38">
            <w:pPr>
              <w:jc w:val="center"/>
              <w:rPr>
                <w:rFonts w:ascii="宋体" w:hAnsi="宋体"/>
                <w:b/>
                <w:color w:val="000000" w:themeColor="text1"/>
                <w:szCs w:val="24"/>
                <w14:textFill>
                  <w14:solidFill>
                    <w14:schemeClr w14:val="tx1"/>
                  </w14:solidFill>
                </w14:textFill>
              </w:rPr>
            </w:pPr>
          </w:p>
        </w:tc>
        <w:tc>
          <w:tcPr>
            <w:tcW w:w="962" w:type="pct"/>
          </w:tcPr>
          <w:p w14:paraId="0E727671">
            <w:pPr>
              <w:rPr>
                <w:rFonts w:ascii="宋体" w:hAnsi="宋体"/>
                <w:b/>
                <w:color w:val="000000" w:themeColor="text1"/>
                <w:szCs w:val="24"/>
                <w14:textFill>
                  <w14:solidFill>
                    <w14:schemeClr w14:val="tx1"/>
                  </w14:solidFill>
                </w14:textFill>
              </w:rPr>
            </w:pPr>
          </w:p>
        </w:tc>
        <w:tc>
          <w:tcPr>
            <w:tcW w:w="3484" w:type="pct"/>
          </w:tcPr>
          <w:p w14:paraId="58367536">
            <w:pPr>
              <w:autoSpaceDE w:val="0"/>
              <w:autoSpaceDN w:val="0"/>
              <w:adjustRightInd w:val="0"/>
              <w:jc w:val="left"/>
              <w:rPr>
                <w:rFonts w:ascii="宋体" w:hAnsi="宋体" w:cs="宋体"/>
              </w:rPr>
            </w:pPr>
          </w:p>
        </w:tc>
      </w:tr>
      <w:tr w14:paraId="0453623F">
        <w:tblPrEx>
          <w:tblCellMar>
            <w:top w:w="0" w:type="dxa"/>
            <w:left w:w="108" w:type="dxa"/>
            <w:bottom w:w="0" w:type="dxa"/>
            <w:right w:w="108" w:type="dxa"/>
          </w:tblCellMar>
        </w:tblPrEx>
        <w:tc>
          <w:tcPr>
            <w:tcW w:w="552" w:type="pct"/>
          </w:tcPr>
          <w:p w14:paraId="51B3AC61">
            <w:pPr>
              <w:jc w:val="center"/>
              <w:rPr>
                <w:rFonts w:ascii="宋体"/>
                <w:b/>
                <w:bCs/>
              </w:rPr>
            </w:pPr>
            <w:r>
              <w:rPr>
                <w:rFonts w:ascii="宋体" w:hAnsi="宋体" w:cs="宋体"/>
                <w:b/>
                <w:bCs/>
              </w:rPr>
              <w:t>1.3</w:t>
            </w:r>
          </w:p>
        </w:tc>
        <w:tc>
          <w:tcPr>
            <w:tcW w:w="962" w:type="pct"/>
          </w:tcPr>
          <w:p w14:paraId="74E8E79E">
            <w:pPr>
              <w:ind w:left="-10" w:leftChars="-5" w:firstLine="11" w:firstLineChars="5"/>
              <w:rPr>
                <w:rFonts w:ascii="宋体"/>
                <w:b/>
                <w:bCs/>
              </w:rPr>
            </w:pPr>
            <w:r>
              <w:rPr>
                <w:rFonts w:hint="eastAsia" w:ascii="宋体" w:hAnsi="宋体" w:cs="宋体"/>
                <w:b/>
                <w:bCs/>
              </w:rPr>
              <w:t>保险对象</w:t>
            </w:r>
          </w:p>
        </w:tc>
        <w:tc>
          <w:tcPr>
            <w:tcW w:w="3484" w:type="pct"/>
          </w:tcPr>
          <w:p w14:paraId="260A8532">
            <w:pPr>
              <w:autoSpaceDE w:val="0"/>
              <w:autoSpaceDN w:val="0"/>
              <w:adjustRightInd w:val="0"/>
              <w:jc w:val="left"/>
              <w:rPr>
                <w:rFonts w:ascii="宋体" w:hAnsi="宋体"/>
              </w:rPr>
            </w:pPr>
            <w:r>
              <w:rPr>
                <w:rFonts w:hint="eastAsia" w:ascii="宋体" w:hAnsi="宋体"/>
              </w:rPr>
              <w:t>本主险合同的保险对象（即被保险人）须满足以下全部条件：</w:t>
            </w:r>
          </w:p>
          <w:p w14:paraId="7CA49F1C">
            <w:pPr>
              <w:pStyle w:val="35"/>
              <w:numPr>
                <w:ilvl w:val="0"/>
                <w:numId w:val="2"/>
              </w:numPr>
              <w:autoSpaceDE w:val="0"/>
              <w:autoSpaceDN w:val="0"/>
              <w:adjustRightInd w:val="0"/>
              <w:ind w:firstLineChars="0"/>
              <w:jc w:val="left"/>
              <w:rPr>
                <w:rFonts w:ascii="宋体" w:hAnsi="宋体"/>
              </w:rPr>
            </w:pPr>
            <w:r>
              <w:rPr>
                <w:rFonts w:hint="eastAsia" w:ascii="宋体" w:hAnsi="宋体"/>
              </w:rPr>
              <w:t>被保险人在保险期间开始之日符合1.4条投保年龄要求；</w:t>
            </w:r>
          </w:p>
          <w:p w14:paraId="5278EE1B">
            <w:pPr>
              <w:pStyle w:val="35"/>
              <w:numPr>
                <w:ilvl w:val="0"/>
                <w:numId w:val="2"/>
              </w:numPr>
              <w:autoSpaceDE w:val="0"/>
              <w:autoSpaceDN w:val="0"/>
              <w:adjustRightInd w:val="0"/>
              <w:ind w:firstLineChars="0"/>
              <w:jc w:val="left"/>
              <w:rPr>
                <w:rFonts w:ascii="宋体" w:hAnsi="宋体"/>
              </w:rPr>
            </w:pPr>
            <w:r>
              <w:rPr>
                <w:rFonts w:hint="eastAsia" w:ascii="宋体" w:hAnsi="宋体"/>
              </w:rPr>
              <w:t>被保险人的身体健康状况能够通过我们的核保审核。</w:t>
            </w:r>
          </w:p>
        </w:tc>
      </w:tr>
      <w:tr w14:paraId="514BF3B1">
        <w:tblPrEx>
          <w:tblCellMar>
            <w:top w:w="0" w:type="dxa"/>
            <w:left w:w="108" w:type="dxa"/>
            <w:bottom w:w="0" w:type="dxa"/>
            <w:right w:w="108" w:type="dxa"/>
          </w:tblCellMar>
        </w:tblPrEx>
        <w:tc>
          <w:tcPr>
            <w:tcW w:w="552" w:type="pct"/>
          </w:tcPr>
          <w:p w14:paraId="0DECB599">
            <w:pPr>
              <w:jc w:val="center"/>
              <w:rPr>
                <w:rFonts w:ascii="宋体" w:hAnsi="宋体"/>
                <w:b/>
                <w:color w:val="000000" w:themeColor="text1"/>
                <w:szCs w:val="24"/>
                <w14:textFill>
                  <w14:solidFill>
                    <w14:schemeClr w14:val="tx1"/>
                  </w14:solidFill>
                </w14:textFill>
              </w:rPr>
            </w:pPr>
          </w:p>
        </w:tc>
        <w:tc>
          <w:tcPr>
            <w:tcW w:w="962" w:type="pct"/>
          </w:tcPr>
          <w:p w14:paraId="4CFF7696">
            <w:pPr>
              <w:rPr>
                <w:rFonts w:ascii="宋体" w:hAnsi="宋体"/>
                <w:b/>
                <w:color w:val="000000" w:themeColor="text1"/>
                <w:szCs w:val="24"/>
                <w14:textFill>
                  <w14:solidFill>
                    <w14:schemeClr w14:val="tx1"/>
                  </w14:solidFill>
                </w14:textFill>
              </w:rPr>
            </w:pPr>
          </w:p>
        </w:tc>
        <w:tc>
          <w:tcPr>
            <w:tcW w:w="3484" w:type="pct"/>
          </w:tcPr>
          <w:p w14:paraId="7F7547AF">
            <w:pPr>
              <w:jc w:val="left"/>
              <w:rPr>
                <w:rFonts w:ascii="宋体" w:hAnsi="宋体"/>
                <w:color w:val="000000" w:themeColor="text1"/>
                <w:szCs w:val="24"/>
                <w14:textFill>
                  <w14:solidFill>
                    <w14:schemeClr w14:val="tx1"/>
                  </w14:solidFill>
                </w14:textFill>
              </w:rPr>
            </w:pPr>
          </w:p>
        </w:tc>
      </w:tr>
      <w:tr w14:paraId="460DC5F0">
        <w:tblPrEx>
          <w:tblCellMar>
            <w:top w:w="0" w:type="dxa"/>
            <w:left w:w="108" w:type="dxa"/>
            <w:bottom w:w="0" w:type="dxa"/>
            <w:right w:w="108" w:type="dxa"/>
          </w:tblCellMar>
        </w:tblPrEx>
        <w:tc>
          <w:tcPr>
            <w:tcW w:w="552" w:type="pct"/>
          </w:tcPr>
          <w:p w14:paraId="69D0B586">
            <w:pPr>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1.4</w:t>
            </w:r>
          </w:p>
        </w:tc>
        <w:tc>
          <w:tcPr>
            <w:tcW w:w="962" w:type="pct"/>
          </w:tcPr>
          <w:p w14:paraId="06D0C8EC">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投保年龄</w:t>
            </w:r>
          </w:p>
        </w:tc>
        <w:tc>
          <w:tcPr>
            <w:tcW w:w="3484" w:type="pct"/>
          </w:tcPr>
          <w:p w14:paraId="12B8C726">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指保险期间开始时被保险人的年龄，投保年龄以</w:t>
            </w:r>
            <w:r>
              <w:rPr>
                <w:rFonts w:hint="eastAsia" w:ascii="黑体" w:hAnsi="黑体" w:eastAsia="黑体"/>
                <w:b/>
                <w:color w:val="000000" w:themeColor="text1"/>
                <w14:textFill>
                  <w14:solidFill>
                    <w14:schemeClr w14:val="tx1"/>
                  </w14:solidFill>
                </w14:textFill>
              </w:rPr>
              <w:t>周岁</w:t>
            </w:r>
            <w:r>
              <w:rPr>
                <w:rStyle w:val="23"/>
                <w:rFonts w:ascii="黑体" w:hAnsi="黑体" w:eastAsia="黑体"/>
                <w:b/>
                <w:color w:val="000000" w:themeColor="text1"/>
                <w14:textFill>
                  <w14:solidFill>
                    <w14:schemeClr w14:val="tx1"/>
                  </w14:solidFill>
                </w14:textFill>
              </w:rPr>
              <w:footnoteReference w:id="0"/>
            </w:r>
            <w:r>
              <w:rPr>
                <w:rFonts w:hint="eastAsia" w:ascii="宋体" w:hAnsi="宋体"/>
                <w:color w:val="000000" w:themeColor="text1"/>
                <w14:textFill>
                  <w14:solidFill>
                    <w14:schemeClr w14:val="tx1"/>
                  </w14:solidFill>
                </w14:textFill>
              </w:rPr>
              <w:t>计算。</w:t>
            </w:r>
          </w:p>
          <w:p w14:paraId="55BCC63C">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本主险合同接受的</w:t>
            </w:r>
            <w:r>
              <w:rPr>
                <w:rFonts w:hint="eastAsia" w:ascii="宋体" w:hAnsi="宋体"/>
                <w:color w:val="000000" w:themeColor="text1"/>
                <w:lang w:val="en-US" w:eastAsia="zh-CN"/>
                <w14:textFill>
                  <w14:solidFill>
                    <w14:schemeClr w14:val="tx1"/>
                  </w14:solidFill>
                </w14:textFill>
              </w:rPr>
              <w:t>首次</w:t>
            </w:r>
            <w:r>
              <w:rPr>
                <w:rFonts w:hint="eastAsia" w:ascii="宋体" w:hAnsi="宋体"/>
                <w:color w:val="000000" w:themeColor="text1"/>
                <w14:textFill>
                  <w14:solidFill>
                    <w14:schemeClr w14:val="tx1"/>
                  </w14:solidFill>
                </w14:textFill>
              </w:rPr>
              <w:t>投保</w:t>
            </w:r>
            <w:r>
              <w:rPr>
                <w:rFonts w:hint="eastAsia" w:ascii="宋体" w:hAnsi="宋体" w:cs="宋体"/>
                <w:color w:val="000000" w:themeColor="text1"/>
                <w14:textFill>
                  <w14:solidFill>
                    <w14:schemeClr w14:val="tx1"/>
                  </w14:solidFill>
                </w14:textFill>
              </w:rPr>
              <w:t>年龄为0周岁至</w:t>
            </w:r>
            <w:r>
              <w:rPr>
                <w:rFonts w:hint="eastAsia" w:ascii="宋体" w:hAnsi="宋体" w:cs="宋体"/>
                <w:color w:val="000000" w:themeColor="text1"/>
                <w:lang w:val="en-US" w:eastAsia="zh-CN"/>
                <w14:textFill>
                  <w14:solidFill>
                    <w14:schemeClr w14:val="tx1"/>
                  </w14:solidFill>
                </w14:textFill>
              </w:rPr>
              <w:t>70</w:t>
            </w:r>
            <w:r>
              <w:rPr>
                <w:rFonts w:hint="eastAsia" w:ascii="宋体" w:hAnsi="宋体" w:cs="宋体"/>
                <w:color w:val="000000" w:themeColor="text1"/>
                <w14:textFill>
                  <w14:solidFill>
                    <w14:schemeClr w14:val="tx1"/>
                  </w14:solidFill>
                </w14:textFill>
              </w:rPr>
              <w:t>周岁，</w:t>
            </w:r>
            <w:r>
              <w:rPr>
                <w:rFonts w:hint="eastAsia" w:ascii="宋体" w:hAnsi="宋体"/>
                <w:color w:val="000000" w:themeColor="text1"/>
                <w14:textFill>
                  <w14:solidFill>
                    <w14:schemeClr w14:val="tx1"/>
                  </w14:solidFill>
                </w14:textFill>
              </w:rPr>
              <w:t>投保时被保险人为0周岁的，应当为出生满</w:t>
            </w:r>
            <w:r>
              <w:rPr>
                <w:rFonts w:ascii="宋体" w:hAnsi="宋体"/>
                <w:color w:val="000000" w:themeColor="text1"/>
                <w14:textFill>
                  <w14:solidFill>
                    <w14:schemeClr w14:val="tx1"/>
                  </w14:solidFill>
                </w14:textFill>
              </w:rPr>
              <w:t>28</w:t>
            </w:r>
            <w:r>
              <w:rPr>
                <w:rFonts w:hint="eastAsia" w:ascii="宋体" w:hAnsi="宋体"/>
                <w:color w:val="000000" w:themeColor="text1"/>
                <w14:textFill>
                  <w14:solidFill>
                    <w14:schemeClr w14:val="tx1"/>
                  </w14:solidFill>
                </w14:textFill>
              </w:rPr>
              <w:t>日且已健康出院的婴儿</w:t>
            </w:r>
            <w:r>
              <w:rPr>
                <w:rFonts w:hint="eastAsia" w:ascii="宋体" w:hAnsi="宋体" w:cs="宋体"/>
                <w:color w:val="000000" w:themeColor="text1"/>
                <w14:textFill>
                  <w14:solidFill>
                    <w14:schemeClr w14:val="tx1"/>
                  </w14:solidFill>
                </w14:textFill>
              </w:rPr>
              <w:t>。</w:t>
            </w:r>
          </w:p>
        </w:tc>
      </w:tr>
      <w:tr w14:paraId="447A9B40">
        <w:tblPrEx>
          <w:tblCellMar>
            <w:top w:w="0" w:type="dxa"/>
            <w:left w:w="108" w:type="dxa"/>
            <w:bottom w:w="0" w:type="dxa"/>
            <w:right w:w="108" w:type="dxa"/>
          </w:tblCellMar>
        </w:tblPrEx>
        <w:tc>
          <w:tcPr>
            <w:tcW w:w="552" w:type="pct"/>
          </w:tcPr>
          <w:p w14:paraId="196F4F5F">
            <w:pPr>
              <w:jc w:val="center"/>
              <w:rPr>
                <w:rFonts w:ascii="宋体" w:hAnsi="宋体"/>
                <w:b/>
                <w:color w:val="000000" w:themeColor="text1"/>
                <w:szCs w:val="24"/>
                <w14:textFill>
                  <w14:solidFill>
                    <w14:schemeClr w14:val="tx1"/>
                  </w14:solidFill>
                </w14:textFill>
              </w:rPr>
            </w:pPr>
          </w:p>
        </w:tc>
        <w:tc>
          <w:tcPr>
            <w:tcW w:w="962" w:type="pct"/>
          </w:tcPr>
          <w:p w14:paraId="5E44B86A">
            <w:pPr>
              <w:rPr>
                <w:rFonts w:ascii="宋体" w:hAnsi="宋体"/>
                <w:b/>
                <w:color w:val="000000" w:themeColor="text1"/>
                <w:szCs w:val="24"/>
                <w14:textFill>
                  <w14:solidFill>
                    <w14:schemeClr w14:val="tx1"/>
                  </w14:solidFill>
                </w14:textFill>
              </w:rPr>
            </w:pPr>
          </w:p>
        </w:tc>
        <w:tc>
          <w:tcPr>
            <w:tcW w:w="3484" w:type="pct"/>
          </w:tcPr>
          <w:p w14:paraId="0D63B099">
            <w:pPr>
              <w:jc w:val="left"/>
              <w:rPr>
                <w:rFonts w:ascii="宋体" w:hAnsi="宋体"/>
                <w:color w:val="000000" w:themeColor="text1"/>
                <w14:textFill>
                  <w14:solidFill>
                    <w14:schemeClr w14:val="tx1"/>
                  </w14:solidFill>
                </w14:textFill>
              </w:rPr>
            </w:pPr>
          </w:p>
        </w:tc>
      </w:tr>
      <w:tr w14:paraId="22E0CF3F">
        <w:tblPrEx>
          <w:tblCellMar>
            <w:top w:w="0" w:type="dxa"/>
            <w:left w:w="108" w:type="dxa"/>
            <w:bottom w:w="0" w:type="dxa"/>
            <w:right w:w="108" w:type="dxa"/>
          </w:tblCellMar>
        </w:tblPrEx>
        <w:tc>
          <w:tcPr>
            <w:tcW w:w="552" w:type="pct"/>
          </w:tcPr>
          <w:p w14:paraId="2EA2AC89">
            <w:pPr>
              <w:jc w:val="center"/>
              <w:rPr>
                <w:rFonts w:ascii="宋体" w:hAnsi="宋体"/>
                <w:b/>
                <w:color w:val="000000" w:themeColor="text1"/>
                <w:szCs w:val="24"/>
                <w14:textFill>
                  <w14:solidFill>
                    <w14:schemeClr w14:val="tx1"/>
                  </w14:solidFill>
                </w14:textFill>
              </w:rPr>
            </w:pPr>
            <w:r>
              <w:rPr>
                <w:rFonts w:hint="eastAsia" w:ascii="宋体" w:hAnsi="宋体" w:cs="宋体"/>
                <w:b/>
                <w:bCs/>
              </w:rPr>
              <w:t>1.</w:t>
            </w:r>
            <w:r>
              <w:rPr>
                <w:rFonts w:ascii="宋体" w:hAnsi="宋体" w:cs="宋体"/>
                <w:b/>
                <w:bCs/>
              </w:rPr>
              <w:t>5</w:t>
            </w:r>
          </w:p>
        </w:tc>
        <w:tc>
          <w:tcPr>
            <w:tcW w:w="962" w:type="pct"/>
          </w:tcPr>
          <w:p w14:paraId="31C1C5C8">
            <w:pPr>
              <w:rPr>
                <w:rFonts w:ascii="宋体" w:hAnsi="宋体"/>
                <w:b/>
                <w:color w:val="000000" w:themeColor="text1"/>
                <w:szCs w:val="24"/>
                <w14:textFill>
                  <w14:solidFill>
                    <w14:schemeClr w14:val="tx1"/>
                  </w14:solidFill>
                </w14:textFill>
              </w:rPr>
            </w:pPr>
            <w:r>
              <w:rPr>
                <w:rFonts w:hint="eastAsia" w:ascii="宋体" w:hAnsi="宋体" w:cs="宋体"/>
                <w:b/>
                <w:bCs/>
              </w:rPr>
              <w:t>犹豫期</w:t>
            </w:r>
          </w:p>
        </w:tc>
        <w:tc>
          <w:tcPr>
            <w:tcW w:w="3484" w:type="pct"/>
          </w:tcPr>
          <w:p w14:paraId="71CD6477">
            <w:pPr>
              <w:pStyle w:val="36"/>
              <w:rPr>
                <w:color w:val="auto"/>
                <w:sz w:val="21"/>
                <w:szCs w:val="21"/>
              </w:rPr>
            </w:pPr>
            <w:r>
              <w:rPr>
                <w:rFonts w:hint="eastAsia"/>
                <w:color w:val="auto"/>
                <w:sz w:val="21"/>
                <w:szCs w:val="21"/>
              </w:rPr>
              <w:t>自您</w:t>
            </w:r>
            <w:r>
              <w:rPr>
                <w:rFonts w:hint="eastAsia"/>
                <w:sz w:val="21"/>
                <w:szCs w:val="21"/>
              </w:rPr>
              <w:t>收到本主险合同电子保险单</w:t>
            </w:r>
            <w:r>
              <w:rPr>
                <w:rFonts w:hint="eastAsia"/>
                <w:color w:val="auto"/>
                <w:sz w:val="21"/>
                <w:szCs w:val="21"/>
              </w:rPr>
              <w:t>次日起，有15日的犹豫期。在此期间请您认真审视本主险合同，如果您认为本主险合同与您的需求不相符，您可以在此期间提出解除本主险合同，我们将无息退还您所支付的全部保险费。</w:t>
            </w:r>
          </w:p>
          <w:p w14:paraId="6F942F20">
            <w:pPr>
              <w:jc w:val="left"/>
              <w:rPr>
                <w:rFonts w:ascii="宋体" w:hAnsi="宋体"/>
                <w:color w:val="000000" w:themeColor="text1"/>
                <w14:textFill>
                  <w14:solidFill>
                    <w14:schemeClr w14:val="tx1"/>
                  </w14:solidFill>
                </w14:textFill>
              </w:rPr>
            </w:pPr>
            <w:r>
              <w:rPr>
                <w:rFonts w:hint="eastAsia"/>
              </w:rPr>
              <w:t>解除本主险合同时，您需要填写申请书，并提供您的保险合同及有效身份证件。</w:t>
            </w:r>
            <w:r>
              <w:rPr>
                <w:rFonts w:hint="eastAsia"/>
                <w:shd w:val="clear" w:color="FFFFFF" w:fill="D9D9D9"/>
              </w:rPr>
              <w:t>自我们收齐上述资料时起，本主险合同即被解除，犹豫期内解除保险合同的，合同解除前发生的</w:t>
            </w:r>
            <w:r>
              <w:rPr>
                <w:rFonts w:hint="eastAsia" w:ascii="黑体" w:eastAsia="黑体"/>
                <w:b/>
                <w:szCs w:val="21"/>
                <w:shd w:val="clear" w:color="FFFFFF" w:fill="D9D9D9"/>
              </w:rPr>
              <w:t>保险事故</w:t>
            </w:r>
            <w:r>
              <w:rPr>
                <w:rStyle w:val="23"/>
                <w:rFonts w:ascii="黑体" w:hAnsi="黑体" w:eastAsia="黑体"/>
                <w:b/>
                <w:shd w:val="clear" w:color="FFFFFF" w:fill="D9D9D9"/>
              </w:rPr>
              <w:footnoteReference w:id="1"/>
            </w:r>
            <w:r>
              <w:rPr>
                <w:rFonts w:hint="eastAsia"/>
                <w:shd w:val="clear" w:color="FFFFFF" w:fill="D9D9D9"/>
              </w:rPr>
              <w:t>我们不承担保险责任，已经承担保险责任的情况下，被保险人应当向我们退还已经支付的保险金，您对被保险人退还保险金应承担连带责任。</w:t>
            </w:r>
          </w:p>
        </w:tc>
      </w:tr>
      <w:tr w14:paraId="58AED93A">
        <w:tblPrEx>
          <w:tblCellMar>
            <w:top w:w="0" w:type="dxa"/>
            <w:left w:w="108" w:type="dxa"/>
            <w:bottom w:w="0" w:type="dxa"/>
            <w:right w:w="108" w:type="dxa"/>
          </w:tblCellMar>
        </w:tblPrEx>
        <w:tc>
          <w:tcPr>
            <w:tcW w:w="552" w:type="pct"/>
          </w:tcPr>
          <w:p w14:paraId="257B57AA">
            <w:pPr>
              <w:jc w:val="center"/>
              <w:rPr>
                <w:rFonts w:ascii="宋体" w:hAnsi="宋体"/>
                <w:b/>
                <w:color w:val="000000" w:themeColor="text1"/>
                <w:szCs w:val="24"/>
                <w14:textFill>
                  <w14:solidFill>
                    <w14:schemeClr w14:val="tx1"/>
                  </w14:solidFill>
                </w14:textFill>
              </w:rPr>
            </w:pPr>
          </w:p>
        </w:tc>
        <w:tc>
          <w:tcPr>
            <w:tcW w:w="962" w:type="pct"/>
          </w:tcPr>
          <w:p w14:paraId="07DEDBF2">
            <w:pPr>
              <w:rPr>
                <w:rFonts w:ascii="宋体" w:hAnsi="宋体"/>
                <w:b/>
                <w:color w:val="000000" w:themeColor="text1"/>
                <w:szCs w:val="24"/>
                <w14:textFill>
                  <w14:solidFill>
                    <w14:schemeClr w14:val="tx1"/>
                  </w14:solidFill>
                </w14:textFill>
              </w:rPr>
            </w:pPr>
          </w:p>
        </w:tc>
        <w:tc>
          <w:tcPr>
            <w:tcW w:w="3484" w:type="pct"/>
          </w:tcPr>
          <w:p w14:paraId="0BA87576">
            <w:pPr>
              <w:jc w:val="left"/>
              <w:rPr>
                <w:rFonts w:ascii="宋体" w:hAnsi="宋体"/>
                <w:color w:val="000000" w:themeColor="text1"/>
                <w14:textFill>
                  <w14:solidFill>
                    <w14:schemeClr w14:val="tx1"/>
                  </w14:solidFill>
                </w14:textFill>
              </w:rPr>
            </w:pPr>
          </w:p>
        </w:tc>
      </w:tr>
      <w:tr w14:paraId="3CC2BEBA">
        <w:tblPrEx>
          <w:tblCellMar>
            <w:top w:w="0" w:type="dxa"/>
            <w:left w:w="108" w:type="dxa"/>
            <w:bottom w:w="0" w:type="dxa"/>
            <w:right w:w="108" w:type="dxa"/>
          </w:tblCellMar>
        </w:tblPrEx>
        <w:tc>
          <w:tcPr>
            <w:tcW w:w="552" w:type="pct"/>
          </w:tcPr>
          <w:p w14:paraId="46D06A19">
            <w:pPr>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1.6</w:t>
            </w:r>
          </w:p>
        </w:tc>
        <w:tc>
          <w:tcPr>
            <w:tcW w:w="962" w:type="pct"/>
          </w:tcPr>
          <w:p w14:paraId="44832DBA">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保险期间</w:t>
            </w:r>
          </w:p>
        </w:tc>
        <w:tc>
          <w:tcPr>
            <w:tcW w:w="3484" w:type="pct"/>
          </w:tcPr>
          <w:p w14:paraId="777E20F1">
            <w:pPr>
              <w:jc w:val="left"/>
              <w:rPr>
                <w:rFonts w:asciiTheme="majorEastAsia" w:hAnsiTheme="majorEastAsia" w:eastAsiaTheme="majorEastAsia"/>
              </w:rPr>
            </w:pPr>
            <w:r>
              <w:rPr>
                <w:rFonts w:hint="eastAsia" w:asciiTheme="majorEastAsia" w:hAnsiTheme="majorEastAsia" w:eastAsiaTheme="majorEastAsia"/>
              </w:rPr>
              <w:t>本主险合同的保险期间</w:t>
            </w:r>
            <w:r>
              <w:rPr>
                <w:rFonts w:hint="eastAsia" w:asciiTheme="majorEastAsia" w:hAnsiTheme="majorEastAsia" w:eastAsiaTheme="majorEastAsia"/>
                <w:lang w:val="en-US" w:eastAsia="zh-CN"/>
              </w:rPr>
              <w:t>为终身</w:t>
            </w:r>
            <w:r>
              <w:rPr>
                <w:rFonts w:hint="eastAsia" w:asciiTheme="majorEastAsia" w:hAnsiTheme="majorEastAsia" w:eastAsiaTheme="majorEastAsia"/>
              </w:rPr>
              <w:t>。</w:t>
            </w:r>
          </w:p>
        </w:tc>
      </w:tr>
      <w:tr w14:paraId="1C74D010">
        <w:tblPrEx>
          <w:tblCellMar>
            <w:top w:w="0" w:type="dxa"/>
            <w:left w:w="108" w:type="dxa"/>
            <w:bottom w:w="0" w:type="dxa"/>
            <w:right w:w="108" w:type="dxa"/>
          </w:tblCellMar>
        </w:tblPrEx>
        <w:trPr>
          <w:trHeight w:val="340" w:hRule="exact"/>
        </w:trPr>
        <w:tc>
          <w:tcPr>
            <w:tcW w:w="552" w:type="pct"/>
          </w:tcPr>
          <w:p w14:paraId="161BC51B">
            <w:pPr>
              <w:rPr>
                <w:rFonts w:ascii="宋体" w:hAnsi="宋体"/>
                <w:color w:val="000000" w:themeColor="text1"/>
                <w:szCs w:val="24"/>
                <w14:textFill>
                  <w14:solidFill>
                    <w14:schemeClr w14:val="tx1"/>
                  </w14:solidFill>
                </w14:textFill>
              </w:rPr>
            </w:pPr>
          </w:p>
        </w:tc>
        <w:tc>
          <w:tcPr>
            <w:tcW w:w="962" w:type="pct"/>
          </w:tcPr>
          <w:p w14:paraId="426566FD">
            <w:pPr>
              <w:rPr>
                <w:rFonts w:ascii="宋体" w:hAnsi="宋体"/>
                <w:color w:val="000000" w:themeColor="text1"/>
                <w:szCs w:val="24"/>
                <w14:textFill>
                  <w14:solidFill>
                    <w14:schemeClr w14:val="tx1"/>
                  </w14:solidFill>
                </w14:textFill>
              </w:rPr>
            </w:pPr>
          </w:p>
        </w:tc>
        <w:tc>
          <w:tcPr>
            <w:tcW w:w="3484" w:type="pct"/>
          </w:tcPr>
          <w:p w14:paraId="472CCB01">
            <w:pPr>
              <w:rPr>
                <w:rFonts w:ascii="宋体" w:hAnsi="宋体"/>
                <w:color w:val="000000" w:themeColor="text1"/>
                <w:szCs w:val="24"/>
                <w14:textFill>
                  <w14:solidFill>
                    <w14:schemeClr w14:val="tx1"/>
                  </w14:solidFill>
                </w14:textFill>
              </w:rPr>
            </w:pPr>
          </w:p>
        </w:tc>
      </w:tr>
      <w:tr w14:paraId="07C4153E">
        <w:tblPrEx>
          <w:tblCellMar>
            <w:top w:w="0" w:type="dxa"/>
            <w:left w:w="108" w:type="dxa"/>
            <w:bottom w:w="0" w:type="dxa"/>
            <w:right w:w="108" w:type="dxa"/>
          </w:tblCellMar>
        </w:tblPrEx>
        <w:trPr>
          <w:cantSplit/>
        </w:trPr>
        <w:tc>
          <w:tcPr>
            <w:tcW w:w="552" w:type="pct"/>
            <w:tcBorders>
              <w:bottom w:val="single" w:color="000000" w:sz="4" w:space="0"/>
            </w:tcBorders>
          </w:tcPr>
          <w:p w14:paraId="485EC277">
            <w:pPr>
              <w:adjustRightInd w:val="0"/>
              <w:snapToGrid w:val="0"/>
              <w:jc w:val="center"/>
              <w:rPr>
                <w:rFonts w:hint="eastAsia" w:ascii="Wingdings 2" w:hAnsi="Wingdings 2"/>
                <w:b/>
                <w:color w:val="000000" w:themeColor="text1"/>
                <w:sz w:val="40"/>
                <w14:textFill>
                  <w14:solidFill>
                    <w14:schemeClr w14:val="tx1"/>
                  </w14:solidFill>
                </w14:textFill>
              </w:rPr>
            </w:pPr>
            <w:r>
              <w:rPr>
                <w:rFonts w:ascii="Wingdings 2" w:hAnsi="Wingdings 2"/>
                <w:b/>
                <w:color w:val="000000" w:themeColor="text1"/>
                <w:sz w:val="40"/>
                <w14:textFill>
                  <w14:solidFill>
                    <w14:schemeClr w14:val="tx1"/>
                  </w14:solidFill>
                </w14:textFill>
              </w:rPr>
              <w:t></w:t>
            </w:r>
          </w:p>
        </w:tc>
        <w:tc>
          <w:tcPr>
            <w:tcW w:w="4447" w:type="pct"/>
            <w:gridSpan w:val="2"/>
            <w:tcBorders>
              <w:bottom w:val="single" w:color="000000" w:sz="4" w:space="0"/>
            </w:tcBorders>
            <w:vAlign w:val="center"/>
          </w:tcPr>
          <w:p w14:paraId="76572219">
            <w:pPr>
              <w:adjustRightInd w:val="0"/>
              <w:snapToGrid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我们提供的保障</w:t>
            </w:r>
          </w:p>
        </w:tc>
      </w:tr>
      <w:tr w14:paraId="20983493">
        <w:tblPrEx>
          <w:tblCellMar>
            <w:top w:w="0" w:type="dxa"/>
            <w:left w:w="108" w:type="dxa"/>
            <w:bottom w:w="0" w:type="dxa"/>
            <w:right w:w="108" w:type="dxa"/>
          </w:tblCellMar>
        </w:tblPrEx>
        <w:trPr>
          <w:trHeight w:val="284" w:hRule="exact"/>
        </w:trPr>
        <w:tc>
          <w:tcPr>
            <w:tcW w:w="552" w:type="pct"/>
            <w:tcBorders>
              <w:top w:val="single" w:color="000000" w:sz="4" w:space="0"/>
            </w:tcBorders>
          </w:tcPr>
          <w:p w14:paraId="086F9E41">
            <w:pPr>
              <w:jc w:val="center"/>
              <w:rPr>
                <w:rFonts w:ascii="宋体" w:hAnsi="宋体"/>
                <w:color w:val="000000" w:themeColor="text1"/>
                <w:szCs w:val="24"/>
                <w14:textFill>
                  <w14:solidFill>
                    <w14:schemeClr w14:val="tx1"/>
                  </w14:solidFill>
                </w14:textFill>
              </w:rPr>
            </w:pPr>
          </w:p>
        </w:tc>
        <w:tc>
          <w:tcPr>
            <w:tcW w:w="962" w:type="pct"/>
            <w:tcBorders>
              <w:top w:val="single" w:color="000000" w:sz="4" w:space="0"/>
            </w:tcBorders>
          </w:tcPr>
          <w:p w14:paraId="3D16D5F7">
            <w:pPr>
              <w:rPr>
                <w:rFonts w:ascii="宋体" w:hAnsi="宋体"/>
                <w:color w:val="000000" w:themeColor="text1"/>
                <w:szCs w:val="24"/>
                <w14:textFill>
                  <w14:solidFill>
                    <w14:schemeClr w14:val="tx1"/>
                  </w14:solidFill>
                </w14:textFill>
              </w:rPr>
            </w:pPr>
          </w:p>
        </w:tc>
        <w:tc>
          <w:tcPr>
            <w:tcW w:w="3484" w:type="pct"/>
            <w:tcBorders>
              <w:top w:val="single" w:color="000000" w:sz="4" w:space="0"/>
            </w:tcBorders>
          </w:tcPr>
          <w:p w14:paraId="301B40F8">
            <w:pPr>
              <w:rPr>
                <w:rFonts w:ascii="宋体" w:hAnsi="宋体"/>
                <w:color w:val="000000" w:themeColor="text1"/>
                <w:szCs w:val="24"/>
                <w14:textFill>
                  <w14:solidFill>
                    <w14:schemeClr w14:val="tx1"/>
                  </w14:solidFill>
                </w14:textFill>
              </w:rPr>
            </w:pPr>
          </w:p>
        </w:tc>
      </w:tr>
      <w:tr w14:paraId="0E8C772E">
        <w:tblPrEx>
          <w:tblCellMar>
            <w:top w:w="0" w:type="dxa"/>
            <w:left w:w="108" w:type="dxa"/>
            <w:bottom w:w="0" w:type="dxa"/>
            <w:right w:w="108" w:type="dxa"/>
          </w:tblCellMar>
        </w:tblPrEx>
        <w:tc>
          <w:tcPr>
            <w:tcW w:w="552" w:type="pct"/>
          </w:tcPr>
          <w:p w14:paraId="0A25B403">
            <w:pPr>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2.</w:t>
            </w:r>
            <w:r>
              <w:rPr>
                <w:rFonts w:hint="eastAsia" w:ascii="宋体" w:hAnsi="宋体"/>
                <w:b/>
                <w:color w:val="000000" w:themeColor="text1"/>
                <w14:textFill>
                  <w14:solidFill>
                    <w14:schemeClr w14:val="tx1"/>
                  </w14:solidFill>
                </w14:textFill>
              </w:rPr>
              <w:t>1</w:t>
            </w:r>
          </w:p>
        </w:tc>
        <w:tc>
          <w:tcPr>
            <w:tcW w:w="962" w:type="pct"/>
          </w:tcPr>
          <w:p w14:paraId="63778AF0">
            <w:pPr>
              <w:jc w:val="left"/>
              <w:rPr>
                <w:rFonts w:hint="default" w:ascii="宋体" w:hAnsi="宋体" w:eastAsia="宋体"/>
                <w:b/>
                <w:color w:val="000000" w:themeColor="text1"/>
                <w:lang w:val="en-US" w:eastAsia="zh-CN"/>
                <w14:textFill>
                  <w14:solidFill>
                    <w14:schemeClr w14:val="tx1"/>
                  </w14:solidFill>
                </w14:textFill>
              </w:rPr>
            </w:pPr>
            <w:r>
              <w:rPr>
                <w:rFonts w:hint="eastAsia" w:ascii="宋体" w:hAnsi="宋体"/>
                <w:b/>
                <w:color w:val="000000" w:themeColor="text1"/>
                <w14:textFill>
                  <w14:solidFill>
                    <w14:schemeClr w14:val="tx1"/>
                  </w14:solidFill>
                </w14:textFill>
              </w:rPr>
              <w:t>基本保险金额</w:t>
            </w:r>
          </w:p>
        </w:tc>
        <w:tc>
          <w:tcPr>
            <w:tcW w:w="3484" w:type="pct"/>
            <w:vAlign w:val="top"/>
          </w:tcPr>
          <w:p w14:paraId="4314CB1D">
            <w:pPr>
              <w:rPr>
                <w:rFonts w:hint="eastAsia" w:ascii="monospace" w:hAnsi="monospace" w:eastAsia="monospace" w:cs="monospace"/>
                <w:i w:val="0"/>
                <w:iCs w:val="0"/>
                <w:caps w:val="0"/>
                <w:color w:val="FF0000"/>
                <w:spacing w:val="0"/>
                <w:sz w:val="13"/>
                <w:szCs w:val="13"/>
                <w:shd w:val="clear" w:fill="FFE3E3"/>
              </w:rPr>
            </w:pPr>
            <w:r>
              <w:rPr>
                <w:rFonts w:hint="eastAsia"/>
                <w:color w:val="000000" w:themeColor="text1"/>
                <w:szCs w:val="21"/>
                <w14:textFill>
                  <w14:solidFill>
                    <w14:schemeClr w14:val="tx1"/>
                  </w14:solidFill>
                </w14:textFill>
              </w:rPr>
              <w:t>本主险合同的基本保险金额在您投保时与我们约定，并在保险合同中载明。若该金额发生变更，则自变更之日的零时起以变更后的金额为基本保险金额。</w:t>
            </w:r>
          </w:p>
        </w:tc>
      </w:tr>
      <w:tr w14:paraId="7A6AC195">
        <w:tblPrEx>
          <w:tblCellMar>
            <w:top w:w="0" w:type="dxa"/>
            <w:left w:w="108" w:type="dxa"/>
            <w:bottom w:w="0" w:type="dxa"/>
            <w:right w:w="108" w:type="dxa"/>
          </w:tblCellMar>
        </w:tblPrEx>
        <w:tc>
          <w:tcPr>
            <w:tcW w:w="552" w:type="pct"/>
          </w:tcPr>
          <w:p w14:paraId="3DC4C999">
            <w:pPr>
              <w:jc w:val="center"/>
              <w:rPr>
                <w:rFonts w:ascii="宋体" w:hAnsi="宋体"/>
                <w:b/>
                <w:color w:val="000000" w:themeColor="text1"/>
                <w14:textFill>
                  <w14:solidFill>
                    <w14:schemeClr w14:val="tx1"/>
                  </w14:solidFill>
                </w14:textFill>
              </w:rPr>
            </w:pPr>
          </w:p>
        </w:tc>
        <w:tc>
          <w:tcPr>
            <w:tcW w:w="962" w:type="pct"/>
          </w:tcPr>
          <w:p w14:paraId="4176BAAA">
            <w:pPr>
              <w:jc w:val="left"/>
              <w:rPr>
                <w:rFonts w:ascii="宋体" w:hAnsi="宋体"/>
                <w:b/>
                <w:color w:val="000000" w:themeColor="text1"/>
                <w14:textFill>
                  <w14:solidFill>
                    <w14:schemeClr w14:val="tx1"/>
                  </w14:solidFill>
                </w14:textFill>
              </w:rPr>
            </w:pPr>
          </w:p>
        </w:tc>
        <w:tc>
          <w:tcPr>
            <w:tcW w:w="3484" w:type="pct"/>
          </w:tcPr>
          <w:p w14:paraId="02E3DB8F">
            <w:pPr>
              <w:pStyle w:val="36"/>
              <w:jc w:val="both"/>
              <w:rPr>
                <w:color w:val="000000" w:themeColor="text1"/>
                <w:sz w:val="21"/>
                <w:szCs w:val="21"/>
                <w14:textFill>
                  <w14:solidFill>
                    <w14:schemeClr w14:val="tx1"/>
                  </w14:solidFill>
                </w14:textFill>
              </w:rPr>
            </w:pPr>
          </w:p>
        </w:tc>
      </w:tr>
      <w:tr w14:paraId="26DEB67E">
        <w:tblPrEx>
          <w:tblCellMar>
            <w:top w:w="0" w:type="dxa"/>
            <w:left w:w="108" w:type="dxa"/>
            <w:bottom w:w="0" w:type="dxa"/>
            <w:right w:w="108" w:type="dxa"/>
          </w:tblCellMar>
        </w:tblPrEx>
        <w:tc>
          <w:tcPr>
            <w:tcW w:w="552" w:type="pct"/>
          </w:tcPr>
          <w:p w14:paraId="6C9159A7">
            <w:pPr>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2.</w:t>
            </w:r>
            <w:r>
              <w:rPr>
                <w:rFonts w:hint="eastAsia" w:ascii="宋体" w:hAnsi="宋体"/>
                <w:b/>
                <w:color w:val="000000" w:themeColor="text1"/>
                <w14:textFill>
                  <w14:solidFill>
                    <w14:schemeClr w14:val="tx1"/>
                  </w14:solidFill>
                </w14:textFill>
              </w:rPr>
              <w:t>2</w:t>
            </w:r>
          </w:p>
        </w:tc>
        <w:tc>
          <w:tcPr>
            <w:tcW w:w="962" w:type="pct"/>
          </w:tcPr>
          <w:p w14:paraId="1F295B6C">
            <w:pPr>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保险责任</w:t>
            </w:r>
          </w:p>
        </w:tc>
        <w:tc>
          <w:tcPr>
            <w:tcW w:w="3484" w:type="pct"/>
          </w:tcPr>
          <w:p w14:paraId="10A50C8A">
            <w:pPr>
              <w:pStyle w:val="36"/>
              <w:jc w:val="both"/>
              <w:rPr>
                <w:rFonts w:cs="Times New Roman"/>
                <w:color w:val="000000" w:themeColor="text1"/>
                <w:kern w:val="2"/>
                <w:sz w:val="21"/>
                <w14:textFill>
                  <w14:solidFill>
                    <w14:schemeClr w14:val="tx1"/>
                  </w14:solidFill>
                </w14:textFill>
              </w:rPr>
            </w:pPr>
            <w:r>
              <w:rPr>
                <w:rFonts w:hint="eastAsia"/>
                <w:color w:val="000000" w:themeColor="text1"/>
                <w:sz w:val="21"/>
                <w:szCs w:val="21"/>
                <w14:textFill>
                  <w14:solidFill>
                    <w14:schemeClr w14:val="tx1"/>
                  </w14:solidFill>
                </w14:textFill>
              </w:rPr>
              <w:t>在本主险合同保险期间内，我们承担如下保险责任：</w:t>
            </w:r>
          </w:p>
        </w:tc>
      </w:tr>
      <w:tr w14:paraId="2646F301">
        <w:tblPrEx>
          <w:tblCellMar>
            <w:top w:w="0" w:type="dxa"/>
            <w:left w:w="108" w:type="dxa"/>
            <w:bottom w:w="0" w:type="dxa"/>
            <w:right w:w="108" w:type="dxa"/>
          </w:tblCellMar>
        </w:tblPrEx>
        <w:trPr>
          <w:trHeight w:val="284" w:hRule="exact"/>
        </w:trPr>
        <w:tc>
          <w:tcPr>
            <w:tcW w:w="552" w:type="pct"/>
          </w:tcPr>
          <w:p w14:paraId="490BC7A1">
            <w:pPr>
              <w:jc w:val="center"/>
              <w:rPr>
                <w:rFonts w:ascii="宋体" w:hAnsi="宋体"/>
                <w:color w:val="000000" w:themeColor="text1"/>
                <w:szCs w:val="24"/>
                <w14:textFill>
                  <w14:solidFill>
                    <w14:schemeClr w14:val="tx1"/>
                  </w14:solidFill>
                </w14:textFill>
              </w:rPr>
            </w:pPr>
          </w:p>
        </w:tc>
        <w:tc>
          <w:tcPr>
            <w:tcW w:w="962" w:type="pct"/>
          </w:tcPr>
          <w:p w14:paraId="63F64CBE">
            <w:pPr>
              <w:rPr>
                <w:rFonts w:ascii="宋体" w:hAnsi="宋体"/>
                <w:color w:val="000000" w:themeColor="text1"/>
                <w:szCs w:val="24"/>
                <w14:textFill>
                  <w14:solidFill>
                    <w14:schemeClr w14:val="tx1"/>
                  </w14:solidFill>
                </w14:textFill>
              </w:rPr>
            </w:pPr>
          </w:p>
        </w:tc>
        <w:tc>
          <w:tcPr>
            <w:tcW w:w="3484" w:type="pct"/>
          </w:tcPr>
          <w:p w14:paraId="7AEB0C62">
            <w:pPr>
              <w:rPr>
                <w:rFonts w:ascii="宋体" w:hAnsi="宋体"/>
                <w:color w:val="000000" w:themeColor="text1"/>
                <w:szCs w:val="24"/>
                <w14:textFill>
                  <w14:solidFill>
                    <w14:schemeClr w14:val="tx1"/>
                  </w14:solidFill>
                </w14:textFill>
              </w:rPr>
            </w:pPr>
          </w:p>
        </w:tc>
      </w:tr>
      <w:tr w14:paraId="3198A8AF">
        <w:tblPrEx>
          <w:tblCellMar>
            <w:top w:w="0" w:type="dxa"/>
            <w:left w:w="108" w:type="dxa"/>
            <w:bottom w:w="0" w:type="dxa"/>
            <w:right w:w="108" w:type="dxa"/>
          </w:tblCellMar>
        </w:tblPrEx>
        <w:trPr>
          <w:trHeight w:val="90" w:hRule="atLeast"/>
        </w:trPr>
        <w:tc>
          <w:tcPr>
            <w:tcW w:w="552" w:type="pct"/>
          </w:tcPr>
          <w:p w14:paraId="0AE53A51">
            <w:pPr>
              <w:jc w:val="center"/>
              <w:rPr>
                <w:rFonts w:ascii="宋体" w:hAnsi="宋体"/>
                <w:b/>
                <w:color w:val="000000" w:themeColor="text1"/>
                <w:szCs w:val="24"/>
                <w14:textFill>
                  <w14:solidFill>
                    <w14:schemeClr w14:val="tx1"/>
                  </w14:solidFill>
                </w14:textFill>
              </w:rPr>
            </w:pPr>
            <w:r>
              <w:rPr>
                <w:rFonts w:hint="eastAsia" w:asciiTheme="minorHAnsi" w:hAnsiTheme="minorHAnsi" w:cstheme="minorHAnsi"/>
                <w:b/>
              </w:rPr>
              <w:t>2.2.1</w:t>
            </w:r>
          </w:p>
        </w:tc>
        <w:tc>
          <w:tcPr>
            <w:tcW w:w="962" w:type="pct"/>
          </w:tcPr>
          <w:p w14:paraId="16FAFDCF">
            <w:pPr>
              <w:spacing w:line="320" w:lineRule="exact"/>
              <w:rPr>
                <w:rFonts w:ascii="华文新魏" w:hAnsi="宋体" w:eastAsia="华文新魏"/>
                <w:b/>
                <w:color w:val="000000" w:themeColor="text1"/>
                <w:sz w:val="24"/>
                <w14:textFill>
                  <w14:solidFill>
                    <w14:schemeClr w14:val="tx1"/>
                  </w14:solidFill>
                </w14:textFill>
              </w:rPr>
            </w:pPr>
            <w:r>
              <w:rPr>
                <w:rFonts w:hint="eastAsia" w:ascii="华文新魏" w:hAnsi="宋体" w:eastAsia="华文新魏"/>
                <w:b/>
                <w:color w:val="000000" w:themeColor="text1"/>
                <w:sz w:val="24"/>
                <w14:textFill>
                  <w14:solidFill>
                    <w14:schemeClr w14:val="tx1"/>
                  </w14:solidFill>
                </w14:textFill>
              </w:rPr>
              <w:t>等待期</w:t>
            </w:r>
          </w:p>
        </w:tc>
        <w:tc>
          <w:tcPr>
            <w:tcW w:w="3484" w:type="pct"/>
          </w:tcPr>
          <w:p w14:paraId="020D2658">
            <w:pPr>
              <w:pStyle w:val="2"/>
              <w:numPr>
                <w:ilvl w:val="0"/>
                <w:numId w:val="0"/>
              </w:numPr>
              <w:rPr>
                <w:rFonts w:hint="eastAsia" w:ascii="宋体" w:hAnsi="宋体"/>
                <w:shd w:val="clear" w:color="FFFFFF" w:fill="D9D9D9"/>
              </w:rPr>
            </w:pPr>
            <w:r>
              <w:rPr>
                <w:rFonts w:hint="eastAsia" w:ascii="宋体" w:hAnsi="宋体"/>
                <w:shd w:val="clear" w:color="FFFFFF" w:fill="D9D9D9"/>
              </w:rPr>
              <w:t>除另有约定外，自本主险合同保险期间开始日起</w:t>
            </w:r>
            <w:r>
              <w:rPr>
                <w:rFonts w:hint="eastAsia" w:ascii="宋体" w:hAnsi="宋体"/>
                <w:shd w:val="clear" w:color="FFFFFF" w:fill="D9D9D9"/>
                <w:lang w:val="en-US" w:eastAsia="zh-CN"/>
              </w:rPr>
              <w:t>180</w:t>
            </w:r>
            <w:r>
              <w:rPr>
                <w:rFonts w:hint="eastAsia" w:ascii="宋体" w:hAnsi="宋体"/>
                <w:shd w:val="clear" w:color="FFFFFF" w:fill="D9D9D9"/>
              </w:rPr>
              <w:t>天内（含第</w:t>
            </w:r>
            <w:r>
              <w:rPr>
                <w:rFonts w:hint="eastAsia" w:ascii="宋体" w:hAnsi="宋体"/>
                <w:shd w:val="clear" w:color="FFFFFF" w:fill="D9D9D9"/>
                <w:lang w:val="en-US" w:eastAsia="zh-CN"/>
              </w:rPr>
              <w:t>180</w:t>
            </w:r>
            <w:r>
              <w:rPr>
                <w:rFonts w:hint="eastAsia" w:ascii="宋体" w:hAnsi="宋体"/>
                <w:shd w:val="clear" w:color="FFFFFF" w:fill="D9D9D9"/>
              </w:rPr>
              <w:t>天）为等待期。</w:t>
            </w:r>
          </w:p>
          <w:p w14:paraId="2CD85C4E">
            <w:pPr>
              <w:pStyle w:val="2"/>
              <w:numPr>
                <w:ilvl w:val="0"/>
                <w:numId w:val="3"/>
              </w:numPr>
              <w:ind w:left="425" w:leftChars="0" w:hanging="425" w:firstLineChars="0"/>
              <w:rPr>
                <w:rFonts w:hint="eastAsia" w:ascii="宋体" w:hAnsi="宋体"/>
                <w:b w:val="0"/>
                <w:bCs w:val="0"/>
                <w:color w:val="000000"/>
                <w:shd w:val="clear" w:color="FFFFFF" w:fill="D9D9D9"/>
              </w:rPr>
            </w:pPr>
            <w:r>
              <w:rPr>
                <w:rFonts w:hint="eastAsia" w:asciiTheme="minorEastAsia" w:hAnsiTheme="minorEastAsia" w:eastAsiaTheme="minorEastAsia"/>
                <w:b w:val="0"/>
                <w:bCs w:val="0"/>
                <w:szCs w:val="21"/>
                <w:shd w:val="clear" w:color="FFFFFF" w:fill="D9D9D9"/>
              </w:rPr>
              <w:t>等待期内被保险人因</w:t>
            </w:r>
            <w:r>
              <w:rPr>
                <w:rFonts w:hint="eastAsia" w:ascii="黑体" w:hAnsi="黑体" w:eastAsia="黑体"/>
                <w:b/>
                <w:bCs/>
                <w:color w:val="000000" w:themeColor="text1"/>
                <w:szCs w:val="21"/>
                <w:shd w:val="clear" w:color="FFFFFF" w:fill="D9D9D9"/>
                <w14:textFill>
                  <w14:solidFill>
                    <w14:schemeClr w14:val="tx1"/>
                  </w14:solidFill>
                </w14:textFill>
              </w:rPr>
              <w:t>意外伤害</w:t>
            </w:r>
            <w:r>
              <w:rPr>
                <w:rStyle w:val="23"/>
                <w:rFonts w:ascii="黑体" w:hAnsi="黑体" w:eastAsia="黑体"/>
                <w:b/>
                <w:bCs/>
                <w:color w:val="000000" w:themeColor="text1"/>
                <w:szCs w:val="21"/>
                <w:shd w:val="clear" w:color="FFFFFF" w:fill="D9D9D9"/>
                <w14:textFill>
                  <w14:solidFill>
                    <w14:schemeClr w14:val="tx1"/>
                  </w14:solidFill>
                </w14:textFill>
              </w:rPr>
              <w:footnoteReference w:id="2"/>
            </w:r>
            <w:r>
              <w:rPr>
                <w:rFonts w:hint="eastAsia" w:ascii="宋体" w:hAnsi="宋体" w:eastAsia="宋体" w:cs="宋体"/>
                <w:b w:val="0"/>
                <w:bCs w:val="0"/>
                <w:color w:val="000000" w:themeColor="text1"/>
                <w:szCs w:val="21"/>
                <w:shd w:val="clear" w:color="FFFFFF" w:fill="D9D9D9"/>
                <w:lang w:val="en-US" w:eastAsia="zh-CN"/>
                <w14:textFill>
                  <w14:solidFill>
                    <w14:schemeClr w14:val="tx1"/>
                  </w14:solidFill>
                </w14:textFill>
              </w:rPr>
              <w:t>以外</w:t>
            </w:r>
            <w:r>
              <w:rPr>
                <w:rFonts w:hint="eastAsia" w:ascii="宋体" w:hAnsi="Calibri" w:cs="宋体"/>
                <w:b w:val="0"/>
                <w:bCs w:val="0"/>
                <w:kern w:val="0"/>
                <w:szCs w:val="21"/>
                <w:shd w:val="clear" w:color="FFFFFF" w:fill="D9D9D9"/>
              </w:rPr>
              <w:t>的原因导致</w:t>
            </w:r>
            <w:r>
              <w:rPr>
                <w:rFonts w:hint="eastAsia" w:ascii="宋体" w:hAnsi="宋体"/>
                <w:b w:val="0"/>
                <w:bCs w:val="0"/>
                <w:color w:val="000000"/>
                <w:shd w:val="clear" w:color="FFFFFF" w:fill="D9D9D9"/>
              </w:rPr>
              <w:t>身故的，</w:t>
            </w:r>
            <w:r>
              <w:rPr>
                <w:rFonts w:hint="eastAsia" w:asciiTheme="minorEastAsia" w:hAnsiTheme="minorEastAsia" w:eastAsiaTheme="minorEastAsia"/>
                <w:b w:val="0"/>
                <w:bCs w:val="0"/>
                <w:szCs w:val="21"/>
                <w:shd w:val="clear" w:color="FFFFFF" w:fill="D9D9D9"/>
                <w:lang w:val="en-US" w:eastAsia="zh-CN"/>
              </w:rPr>
              <w:t>我们</w:t>
            </w:r>
            <w:r>
              <w:rPr>
                <w:rFonts w:hint="eastAsia" w:asciiTheme="minorEastAsia" w:hAnsiTheme="minorEastAsia" w:eastAsiaTheme="minorEastAsia"/>
                <w:b w:val="0"/>
                <w:bCs w:val="0"/>
                <w:szCs w:val="21"/>
                <w:shd w:val="clear" w:color="FFFFFF" w:fill="D9D9D9"/>
              </w:rPr>
              <w:t>不承担</w:t>
            </w:r>
            <w:r>
              <w:rPr>
                <w:rFonts w:hint="eastAsia" w:asciiTheme="minorEastAsia" w:hAnsiTheme="minorEastAsia" w:eastAsiaTheme="minorEastAsia"/>
                <w:b w:val="0"/>
                <w:bCs w:val="0"/>
                <w:szCs w:val="21"/>
                <w:shd w:val="clear" w:color="FFFFFF" w:fill="D9D9D9"/>
                <w:lang w:val="en-US" w:eastAsia="zh-CN"/>
              </w:rPr>
              <w:t>保险</w:t>
            </w:r>
            <w:r>
              <w:rPr>
                <w:rFonts w:hint="eastAsia" w:asciiTheme="minorEastAsia" w:hAnsiTheme="minorEastAsia" w:eastAsiaTheme="minorEastAsia"/>
                <w:b w:val="0"/>
                <w:bCs w:val="0"/>
                <w:szCs w:val="21"/>
                <w:shd w:val="clear" w:color="FFFFFF" w:fill="D9D9D9"/>
              </w:rPr>
              <w:t>责任，但无息退还本</w:t>
            </w:r>
            <w:r>
              <w:rPr>
                <w:rFonts w:hint="eastAsia" w:asciiTheme="minorEastAsia" w:hAnsiTheme="minorEastAsia" w:eastAsiaTheme="minorEastAsia"/>
                <w:b w:val="0"/>
                <w:bCs w:val="0"/>
                <w:szCs w:val="21"/>
                <w:shd w:val="clear" w:color="FFFFFF" w:fill="D9D9D9"/>
                <w:lang w:val="en-US" w:eastAsia="zh-CN"/>
              </w:rPr>
              <w:t>主险</w:t>
            </w:r>
            <w:r>
              <w:rPr>
                <w:rFonts w:hint="eastAsia" w:asciiTheme="minorEastAsia" w:hAnsiTheme="minorEastAsia" w:eastAsiaTheme="minorEastAsia"/>
                <w:b w:val="0"/>
                <w:bCs w:val="0"/>
                <w:szCs w:val="21"/>
                <w:shd w:val="clear" w:color="FFFFFF" w:fill="D9D9D9"/>
              </w:rPr>
              <w:t>合同</w:t>
            </w:r>
            <w:r>
              <w:rPr>
                <w:rFonts w:hint="eastAsia" w:ascii="宋体" w:hAnsi="宋体"/>
                <w:b w:val="0"/>
                <w:bCs w:val="0"/>
                <w:color w:val="000000"/>
                <w:shd w:val="clear" w:color="FFFFFF" w:fill="D9D9D9"/>
              </w:rPr>
              <w:t>已交保险费，</w:t>
            </w:r>
            <w:r>
              <w:rPr>
                <w:rFonts w:hint="eastAsia" w:ascii="宋体" w:hAnsi="宋体"/>
                <w:b w:val="0"/>
                <w:bCs w:val="0"/>
                <w:color w:val="000000"/>
                <w:shd w:val="clear" w:color="FFFFFF" w:fill="D9D9D9"/>
                <w:lang w:val="en-US" w:eastAsia="zh-CN"/>
              </w:rPr>
              <w:t>我们</w:t>
            </w:r>
            <w:r>
              <w:rPr>
                <w:rFonts w:hint="eastAsia" w:ascii="宋体" w:hAnsi="宋体"/>
                <w:b w:val="0"/>
                <w:bCs w:val="0"/>
                <w:color w:val="000000"/>
                <w:shd w:val="clear" w:color="FFFFFF" w:fill="D9D9D9"/>
              </w:rPr>
              <w:t>已</w:t>
            </w:r>
            <w:r>
              <w:rPr>
                <w:rFonts w:hint="eastAsia" w:ascii="宋体" w:hAnsi="宋体"/>
                <w:b w:val="0"/>
                <w:bCs w:val="0"/>
                <w:color w:val="000000"/>
                <w:shd w:val="clear" w:color="FFFFFF" w:fill="D9D9D9"/>
                <w:lang w:val="en-US" w:eastAsia="zh-CN"/>
              </w:rPr>
              <w:t>赔付</w:t>
            </w:r>
            <w:r>
              <w:rPr>
                <w:rFonts w:hint="eastAsia" w:ascii="宋体" w:hAnsi="宋体"/>
                <w:b w:val="0"/>
                <w:bCs w:val="0"/>
                <w:color w:val="000000"/>
                <w:shd w:val="clear" w:color="FFFFFF" w:fill="D9D9D9"/>
              </w:rPr>
              <w:t>过一般医疗保险金的，还应扣除累计</w:t>
            </w:r>
            <w:r>
              <w:rPr>
                <w:rFonts w:hint="eastAsia" w:ascii="宋体" w:hAnsi="宋体"/>
                <w:b w:val="0"/>
                <w:bCs w:val="0"/>
                <w:color w:val="000000"/>
                <w:shd w:val="clear" w:color="FFFFFF" w:fill="D9D9D9"/>
                <w:lang w:val="en-US" w:eastAsia="zh-CN"/>
              </w:rPr>
              <w:t>赔付</w:t>
            </w:r>
            <w:r>
              <w:rPr>
                <w:rFonts w:hint="eastAsia" w:ascii="宋体" w:hAnsi="宋体"/>
                <w:b w:val="0"/>
                <w:bCs w:val="0"/>
                <w:color w:val="000000"/>
                <w:shd w:val="clear" w:color="FFFFFF" w:fill="D9D9D9"/>
              </w:rPr>
              <w:t>的相应金额，</w:t>
            </w:r>
            <w:r>
              <w:rPr>
                <w:rFonts w:hint="eastAsia" w:ascii="宋体" w:hAnsi="宋体"/>
                <w:b/>
                <w:bCs/>
                <w:color w:val="000000"/>
                <w:shd w:val="clear" w:color="FFFFFF" w:fill="D9D9D9"/>
              </w:rPr>
              <w:t>本</w:t>
            </w:r>
            <w:r>
              <w:rPr>
                <w:rFonts w:hint="eastAsia" w:ascii="宋体" w:hAnsi="宋体"/>
                <w:b/>
                <w:bCs/>
                <w:color w:val="000000"/>
                <w:shd w:val="clear" w:color="FFFFFF" w:fill="D9D9D9"/>
                <w:lang w:val="en-US" w:eastAsia="zh-CN"/>
              </w:rPr>
              <w:t>主险</w:t>
            </w:r>
            <w:r>
              <w:rPr>
                <w:rFonts w:hint="eastAsia" w:ascii="宋体" w:hAnsi="宋体"/>
                <w:b/>
                <w:bCs/>
                <w:color w:val="000000"/>
                <w:shd w:val="clear" w:color="FFFFFF" w:fill="D9D9D9"/>
              </w:rPr>
              <w:t>合同终止</w:t>
            </w:r>
            <w:r>
              <w:rPr>
                <w:rFonts w:hint="eastAsia" w:ascii="宋体" w:hAnsi="宋体"/>
                <w:b/>
                <w:bCs/>
                <w:color w:val="000000"/>
                <w:shd w:val="clear" w:color="FFFFFF" w:fill="D9D9D9"/>
                <w:lang w:eastAsia="zh-CN"/>
              </w:rPr>
              <w:t>；</w:t>
            </w:r>
          </w:p>
          <w:p w14:paraId="714F21A6">
            <w:pPr>
              <w:pStyle w:val="2"/>
              <w:numPr>
                <w:ilvl w:val="0"/>
                <w:numId w:val="3"/>
              </w:numPr>
              <w:ind w:left="425" w:leftChars="0" w:hanging="425" w:firstLineChars="0"/>
              <w:rPr>
                <w:rFonts w:hint="eastAsia" w:asciiTheme="minorEastAsia" w:hAnsiTheme="minorEastAsia" w:eastAsiaTheme="minorEastAsia"/>
                <w:b/>
                <w:bCs/>
                <w:szCs w:val="21"/>
                <w:shd w:val="clear" w:color="FFFFFF" w:fill="D9D9D9"/>
              </w:rPr>
            </w:pPr>
            <w:r>
              <w:rPr>
                <w:rFonts w:hint="eastAsia" w:asciiTheme="minorEastAsia" w:hAnsiTheme="minorEastAsia" w:eastAsiaTheme="minorEastAsia"/>
                <w:b w:val="0"/>
                <w:bCs w:val="0"/>
                <w:szCs w:val="21"/>
                <w:shd w:val="clear" w:color="FFFFFF" w:fill="D9D9D9"/>
              </w:rPr>
              <w:t>等待期内被保险人因意外</w:t>
            </w:r>
            <w:r>
              <w:rPr>
                <w:rFonts w:hint="eastAsia" w:asciiTheme="minorEastAsia" w:hAnsiTheme="minorEastAsia" w:eastAsiaTheme="minorEastAsia"/>
                <w:b w:val="0"/>
                <w:bCs w:val="0"/>
                <w:szCs w:val="21"/>
                <w:shd w:val="clear" w:color="FFFFFF" w:fill="D9D9D9"/>
                <w:lang w:val="en-US" w:eastAsia="zh-CN"/>
              </w:rPr>
              <w:t>伤害以外</w:t>
            </w:r>
            <w:r>
              <w:rPr>
                <w:rFonts w:hint="eastAsia" w:asciiTheme="minorEastAsia" w:hAnsiTheme="minorEastAsia" w:eastAsiaTheme="minorEastAsia"/>
                <w:b w:val="0"/>
                <w:bCs w:val="0"/>
                <w:szCs w:val="21"/>
                <w:shd w:val="clear" w:color="FFFFFF" w:fill="D9D9D9"/>
              </w:rPr>
              <w:t>的原因</w:t>
            </w:r>
            <w:r>
              <w:rPr>
                <w:rFonts w:hint="eastAsia" w:asciiTheme="minorEastAsia" w:hAnsiTheme="minorEastAsia" w:eastAsiaTheme="minorEastAsia"/>
                <w:b w:val="0"/>
                <w:bCs w:val="0"/>
                <w:szCs w:val="21"/>
                <w:shd w:val="clear" w:color="FFFFFF" w:fill="D9D9D9"/>
                <w:lang w:val="en-US" w:eastAsia="zh-CN"/>
              </w:rPr>
              <w:t>初次</w:t>
            </w:r>
            <w:r>
              <w:rPr>
                <w:rFonts w:hint="eastAsia" w:asciiTheme="minorEastAsia" w:hAnsiTheme="minorEastAsia" w:eastAsiaTheme="minorEastAsia"/>
                <w:b w:val="0"/>
                <w:bCs w:val="0"/>
                <w:szCs w:val="21"/>
                <w:shd w:val="clear" w:color="FFFFFF" w:fill="D9D9D9"/>
              </w:rPr>
              <w:t>确诊</w:t>
            </w:r>
            <w:r>
              <w:rPr>
                <w:rFonts w:hint="eastAsia" w:ascii="宋体" w:hAnsi="宋体" w:cs="宋体"/>
                <w:bCs/>
                <w:shd w:val="clear" w:color="FFFFFF" w:fill="D9D9D9"/>
                <w:lang w:val="en-US" w:eastAsia="zh-CN"/>
              </w:rPr>
              <w:t>符合本主险合同所附</w:t>
            </w:r>
            <w:r>
              <w:rPr>
                <w:rFonts w:hint="eastAsia" w:ascii="宋体" w:hAnsi="宋体" w:cs="宋体"/>
                <w:b/>
                <w:bCs w:val="0"/>
                <w:shd w:val="clear" w:color="FFFFFF" w:fill="D9D9D9"/>
                <w:lang w:val="en-US" w:eastAsia="zh-CN"/>
              </w:rPr>
              <w:t>特定疾病清单（详见附表1）</w:t>
            </w:r>
            <w:r>
              <w:rPr>
                <w:rFonts w:hint="eastAsia" w:ascii="宋体" w:hAnsi="宋体" w:cs="宋体"/>
                <w:shd w:val="clear" w:color="FFFFFF" w:fill="D9D9D9"/>
              </w:rPr>
              <w:t>定义的</w:t>
            </w:r>
            <w:r>
              <w:rPr>
                <w:rFonts w:hint="eastAsia" w:ascii="宋体" w:hAnsi="宋体" w:cs="宋体"/>
                <w:shd w:val="clear" w:color="FFFFFF" w:fill="D9D9D9"/>
                <w:lang w:val="en-US" w:eastAsia="zh-CN"/>
              </w:rPr>
              <w:t>特定</w:t>
            </w:r>
            <w:r>
              <w:rPr>
                <w:rFonts w:hint="eastAsia" w:ascii="宋体" w:hAnsi="宋体" w:cs="宋体"/>
                <w:shd w:val="clear" w:color="FFFFFF" w:fill="D9D9D9"/>
              </w:rPr>
              <w:t>疾病</w:t>
            </w:r>
            <w:r>
              <w:rPr>
                <w:rFonts w:hint="eastAsia" w:ascii="宋体" w:hAnsi="宋体" w:cs="宋体"/>
                <w:shd w:val="clear" w:color="FFFFFF" w:fill="D9D9D9"/>
                <w:lang w:eastAsia="zh-CN"/>
              </w:rPr>
              <w:t>（</w:t>
            </w:r>
            <w:r>
              <w:rPr>
                <w:rFonts w:hint="eastAsia" w:ascii="宋体" w:hAnsi="宋体" w:cs="宋体"/>
                <w:shd w:val="clear" w:color="FFFFFF" w:fill="D9D9D9"/>
                <w:lang w:val="en-US" w:eastAsia="zh-CN"/>
              </w:rPr>
              <w:t>不论一种或多种</w:t>
            </w:r>
            <w:r>
              <w:rPr>
                <w:rFonts w:hint="eastAsia" w:ascii="宋体" w:hAnsi="宋体" w:cs="宋体"/>
                <w:shd w:val="clear" w:color="FFFFFF" w:fill="D9D9D9"/>
                <w:lang w:eastAsia="zh-CN"/>
              </w:rPr>
              <w:t>）</w:t>
            </w:r>
            <w:r>
              <w:rPr>
                <w:rFonts w:hint="eastAsia" w:asciiTheme="minorEastAsia" w:hAnsiTheme="minorEastAsia" w:eastAsiaTheme="minorEastAsia"/>
                <w:b w:val="0"/>
                <w:bCs w:val="0"/>
                <w:szCs w:val="21"/>
                <w:shd w:val="clear" w:color="FFFFFF" w:fill="D9D9D9"/>
              </w:rPr>
              <w:t>，</w:t>
            </w:r>
            <w:r>
              <w:rPr>
                <w:rFonts w:hint="eastAsia" w:asciiTheme="minorEastAsia" w:hAnsiTheme="minorEastAsia" w:eastAsiaTheme="minorEastAsia"/>
                <w:b w:val="0"/>
                <w:bCs w:val="0"/>
                <w:szCs w:val="21"/>
                <w:shd w:val="clear" w:color="FFFFFF" w:fill="D9D9D9"/>
                <w:lang w:val="en-US" w:eastAsia="zh-CN"/>
              </w:rPr>
              <w:t>我们</w:t>
            </w:r>
            <w:r>
              <w:rPr>
                <w:rFonts w:hint="eastAsia" w:asciiTheme="minorEastAsia" w:hAnsiTheme="minorEastAsia" w:eastAsiaTheme="minorEastAsia"/>
                <w:b w:val="0"/>
                <w:bCs w:val="0"/>
                <w:szCs w:val="21"/>
                <w:shd w:val="clear" w:color="FFFFFF" w:fill="D9D9D9"/>
              </w:rPr>
              <w:t>不承担</w:t>
            </w:r>
            <w:r>
              <w:rPr>
                <w:rFonts w:hint="eastAsia" w:asciiTheme="minorEastAsia" w:hAnsiTheme="minorEastAsia" w:eastAsiaTheme="minorEastAsia"/>
                <w:b w:val="0"/>
                <w:bCs w:val="0"/>
                <w:szCs w:val="21"/>
                <w:shd w:val="clear" w:color="FFFFFF" w:fill="D9D9D9"/>
                <w:lang w:val="en-US" w:eastAsia="zh-CN"/>
              </w:rPr>
              <w:t>保险</w:t>
            </w:r>
            <w:r>
              <w:rPr>
                <w:rFonts w:hint="eastAsia" w:asciiTheme="minorEastAsia" w:hAnsiTheme="minorEastAsia" w:eastAsiaTheme="minorEastAsia"/>
                <w:b w:val="0"/>
                <w:bCs w:val="0"/>
                <w:szCs w:val="21"/>
                <w:shd w:val="clear" w:color="FFFFFF" w:fill="D9D9D9"/>
              </w:rPr>
              <w:t>责任，但无息退还本</w:t>
            </w:r>
            <w:r>
              <w:rPr>
                <w:rFonts w:hint="eastAsia" w:asciiTheme="minorEastAsia" w:hAnsiTheme="minorEastAsia" w:eastAsiaTheme="minorEastAsia"/>
                <w:b w:val="0"/>
                <w:bCs w:val="0"/>
                <w:szCs w:val="21"/>
                <w:shd w:val="clear" w:color="FFFFFF" w:fill="D9D9D9"/>
                <w:lang w:val="en-US" w:eastAsia="zh-CN"/>
              </w:rPr>
              <w:t>主险</w:t>
            </w:r>
            <w:r>
              <w:rPr>
                <w:rFonts w:hint="eastAsia" w:asciiTheme="minorEastAsia" w:hAnsiTheme="minorEastAsia" w:eastAsiaTheme="minorEastAsia"/>
                <w:b w:val="0"/>
                <w:bCs w:val="0"/>
                <w:szCs w:val="21"/>
                <w:shd w:val="clear" w:color="FFFFFF" w:fill="D9D9D9"/>
              </w:rPr>
              <w:t>合同已交保险费，</w:t>
            </w:r>
            <w:r>
              <w:rPr>
                <w:rFonts w:hint="eastAsia" w:ascii="宋体" w:hAnsi="宋体" w:eastAsiaTheme="minorEastAsia"/>
                <w:b w:val="0"/>
                <w:bCs w:val="0"/>
                <w:color w:val="000000"/>
                <w:shd w:val="clear" w:color="FFFFFF" w:fill="D9D9D9"/>
                <w:lang w:val="en-US" w:eastAsia="zh-CN"/>
              </w:rPr>
              <w:t>我们</w:t>
            </w:r>
            <w:r>
              <w:rPr>
                <w:rFonts w:hint="eastAsia" w:ascii="宋体" w:hAnsi="宋体"/>
                <w:b w:val="0"/>
                <w:bCs w:val="0"/>
                <w:color w:val="000000"/>
                <w:shd w:val="clear" w:color="FFFFFF" w:fill="D9D9D9"/>
              </w:rPr>
              <w:t>已</w:t>
            </w:r>
            <w:r>
              <w:rPr>
                <w:rFonts w:hint="eastAsia" w:ascii="宋体" w:hAnsi="宋体"/>
                <w:b w:val="0"/>
                <w:bCs w:val="0"/>
                <w:color w:val="000000"/>
                <w:shd w:val="clear" w:color="FFFFFF" w:fill="D9D9D9"/>
                <w:lang w:val="en-US" w:eastAsia="zh-CN"/>
              </w:rPr>
              <w:t>赔付</w:t>
            </w:r>
            <w:r>
              <w:rPr>
                <w:rFonts w:hint="eastAsia" w:ascii="宋体" w:hAnsi="宋体"/>
                <w:b w:val="0"/>
                <w:bCs w:val="0"/>
                <w:color w:val="000000"/>
                <w:shd w:val="clear" w:color="FFFFFF" w:fill="D9D9D9"/>
              </w:rPr>
              <w:t>过一般医疗保险金的，还应扣除累计</w:t>
            </w:r>
            <w:r>
              <w:rPr>
                <w:rFonts w:hint="eastAsia" w:ascii="宋体" w:hAnsi="宋体"/>
                <w:b w:val="0"/>
                <w:bCs w:val="0"/>
                <w:color w:val="000000"/>
                <w:shd w:val="clear" w:color="FFFFFF" w:fill="D9D9D9"/>
                <w:lang w:val="en-US" w:eastAsia="zh-CN"/>
              </w:rPr>
              <w:t>赔付</w:t>
            </w:r>
            <w:r>
              <w:rPr>
                <w:rFonts w:hint="eastAsia" w:ascii="宋体" w:hAnsi="宋体"/>
                <w:b w:val="0"/>
                <w:bCs w:val="0"/>
                <w:color w:val="000000"/>
                <w:shd w:val="clear" w:color="FFFFFF" w:fill="D9D9D9"/>
              </w:rPr>
              <w:t>的相应金额，</w:t>
            </w:r>
            <w:r>
              <w:rPr>
                <w:rFonts w:hint="eastAsia" w:asciiTheme="minorEastAsia" w:hAnsiTheme="minorEastAsia" w:eastAsiaTheme="minorEastAsia"/>
                <w:b/>
                <w:bCs/>
                <w:szCs w:val="21"/>
                <w:shd w:val="clear" w:color="FFFFFF" w:fill="D9D9D9"/>
              </w:rPr>
              <w:t>本</w:t>
            </w:r>
            <w:r>
              <w:rPr>
                <w:rFonts w:hint="eastAsia" w:asciiTheme="minorEastAsia" w:hAnsiTheme="minorEastAsia" w:eastAsiaTheme="minorEastAsia"/>
                <w:b/>
                <w:bCs/>
                <w:szCs w:val="21"/>
                <w:shd w:val="clear" w:color="FFFFFF" w:fill="D9D9D9"/>
                <w:lang w:val="en-US" w:eastAsia="zh-CN"/>
              </w:rPr>
              <w:t>主险</w:t>
            </w:r>
            <w:r>
              <w:rPr>
                <w:rFonts w:hint="eastAsia" w:asciiTheme="minorEastAsia" w:hAnsiTheme="minorEastAsia" w:eastAsiaTheme="minorEastAsia"/>
                <w:b/>
                <w:bCs/>
                <w:szCs w:val="21"/>
                <w:shd w:val="clear" w:color="FFFFFF" w:fill="D9D9D9"/>
              </w:rPr>
              <w:t>合同终止</w:t>
            </w:r>
            <w:r>
              <w:rPr>
                <w:rFonts w:hint="eastAsia" w:asciiTheme="minorEastAsia" w:hAnsiTheme="minorEastAsia" w:eastAsiaTheme="minorEastAsia"/>
                <w:b/>
                <w:bCs/>
                <w:szCs w:val="21"/>
                <w:shd w:val="clear" w:color="FFFFFF" w:fill="D9D9D9"/>
                <w:lang w:eastAsia="zh-CN"/>
              </w:rPr>
              <w:t>；</w:t>
            </w:r>
          </w:p>
          <w:p w14:paraId="152BC973">
            <w:pPr>
              <w:pStyle w:val="2"/>
              <w:numPr>
                <w:ilvl w:val="-1"/>
                <w:numId w:val="0"/>
              </w:numPr>
              <w:ind w:left="0" w:leftChars="0" w:firstLine="0" w:firstLineChars="0"/>
              <w:rPr>
                <w:rFonts w:hint="eastAsia" w:asciiTheme="minorEastAsia" w:hAnsiTheme="minorEastAsia" w:eastAsiaTheme="minorEastAsia"/>
                <w:b/>
                <w:bCs/>
                <w:szCs w:val="21"/>
                <w:shd w:val="clear" w:color="FFFFFF" w:fill="D9D9D9"/>
              </w:rPr>
            </w:pPr>
            <w:r>
              <w:rPr>
                <w:rFonts w:hint="eastAsia" w:ascii="宋体" w:hAnsi="宋体"/>
                <w:shd w:val="clear" w:color="FFFFFF" w:fill="D9D9D9"/>
                <w:lang w:val="en-US" w:eastAsia="zh-CN"/>
              </w:rPr>
              <w:t>因</w:t>
            </w:r>
            <w:r>
              <w:rPr>
                <w:rFonts w:hint="eastAsia" w:ascii="宋体" w:hAnsi="宋体" w:eastAsia="宋体"/>
                <w:b w:val="0"/>
                <w:bCs w:val="0"/>
                <w:color w:val="000000" w:themeColor="text1"/>
                <w:szCs w:val="21"/>
                <w:shd w:val="clear" w:color="FFFFFF" w:fill="D9D9D9"/>
                <w14:textFill>
                  <w14:solidFill>
                    <w14:schemeClr w14:val="tx1"/>
                  </w14:solidFill>
                </w14:textFill>
              </w:rPr>
              <w:t>意外伤害</w:t>
            </w:r>
            <w:r>
              <w:rPr>
                <w:rFonts w:hint="eastAsia" w:ascii="宋体" w:hAnsi="宋体"/>
                <w:b w:val="0"/>
                <w:bCs w:val="0"/>
                <w:color w:val="000000" w:themeColor="text1"/>
                <w:szCs w:val="21"/>
                <w:shd w:val="clear" w:color="FFFFFF" w:fill="D9D9D9"/>
                <w:lang w:val="en-US" w:eastAsia="zh-CN"/>
                <w14:textFill>
                  <w14:solidFill>
                    <w14:schemeClr w14:val="tx1"/>
                  </w14:solidFill>
                </w14:textFill>
              </w:rPr>
              <w:t>导致</w:t>
            </w:r>
            <w:r>
              <w:rPr>
                <w:rFonts w:hint="eastAsia" w:asciiTheme="minorEastAsia" w:hAnsiTheme="minorEastAsia" w:eastAsiaTheme="minorEastAsia"/>
                <w:b w:val="0"/>
                <w:bCs w:val="0"/>
                <w:szCs w:val="21"/>
                <w:shd w:val="clear" w:color="FFFFFF" w:fill="D9D9D9"/>
              </w:rPr>
              <w:t>的</w:t>
            </w:r>
            <w:r>
              <w:rPr>
                <w:rFonts w:hint="eastAsia" w:asciiTheme="minorEastAsia" w:hAnsiTheme="minorEastAsia" w:eastAsiaTheme="minorEastAsia"/>
                <w:b w:val="0"/>
                <w:bCs w:val="0"/>
                <w:szCs w:val="21"/>
                <w:shd w:val="clear" w:color="FFFFFF" w:fill="D9D9D9"/>
                <w:lang w:val="en-US" w:eastAsia="zh-CN"/>
              </w:rPr>
              <w:t>以上保险事故</w:t>
            </w:r>
            <w:r>
              <w:rPr>
                <w:rFonts w:hint="eastAsia" w:ascii="宋体" w:hAnsi="宋体"/>
                <w:color w:val="000000" w:themeColor="text1"/>
                <w:szCs w:val="21"/>
                <w:shd w:val="clear" w:color="FFFFFF" w:fill="D9D9D9"/>
                <w:lang w:val="en-US" w:eastAsia="zh-CN"/>
                <w14:textFill>
                  <w14:solidFill>
                    <w14:schemeClr w14:val="tx1"/>
                  </w14:solidFill>
                </w14:textFill>
              </w:rPr>
              <w:t>无等待期。</w:t>
            </w:r>
          </w:p>
          <w:p w14:paraId="18C1FBAF">
            <w:pPr>
              <w:pStyle w:val="2"/>
              <w:numPr>
                <w:ilvl w:val="0"/>
                <w:numId w:val="0"/>
              </w:numPr>
              <w:rPr>
                <w:rFonts w:hint="eastAsia" w:asciiTheme="minorEastAsia" w:hAnsiTheme="minorEastAsia" w:eastAsiaTheme="minorEastAsia"/>
                <w:b/>
                <w:bCs/>
                <w:szCs w:val="21"/>
                <w:shd w:val="clear" w:color="FFFFFF" w:fill="D9D9D9"/>
              </w:rPr>
            </w:pPr>
            <w:r>
              <w:rPr>
                <w:rFonts w:hint="eastAsia" w:ascii="宋体" w:hAnsi="宋体"/>
                <w:b/>
                <w:shd w:val="clear" w:color="FFFFFF" w:fill="D9D9D9"/>
              </w:rPr>
              <w:t>如果本主险合同中止后复效，则自最后一次复效之日起重新计算一次</w:t>
            </w:r>
            <w:r>
              <w:rPr>
                <w:rFonts w:hint="eastAsia" w:ascii="宋体" w:hAnsi="宋体"/>
                <w:b/>
                <w:shd w:val="clear" w:color="FFFFFF" w:fill="D9D9D9"/>
                <w:lang w:val="en-US" w:eastAsia="zh-CN"/>
              </w:rPr>
              <w:t>180</w:t>
            </w:r>
            <w:r>
              <w:rPr>
                <w:rFonts w:hint="eastAsia" w:ascii="宋体" w:hAnsi="宋体"/>
                <w:b/>
                <w:shd w:val="clear" w:color="FFFFFF" w:fill="D9D9D9"/>
              </w:rPr>
              <w:t>天的等待期。</w:t>
            </w:r>
          </w:p>
        </w:tc>
      </w:tr>
      <w:tr w14:paraId="6AFA06E6">
        <w:tblPrEx>
          <w:tblCellMar>
            <w:top w:w="0" w:type="dxa"/>
            <w:left w:w="108" w:type="dxa"/>
            <w:bottom w:w="0" w:type="dxa"/>
            <w:right w:w="108" w:type="dxa"/>
          </w:tblCellMar>
        </w:tblPrEx>
        <w:trPr>
          <w:trHeight w:val="390" w:hRule="exact"/>
        </w:trPr>
        <w:tc>
          <w:tcPr>
            <w:tcW w:w="552" w:type="pct"/>
          </w:tcPr>
          <w:p w14:paraId="488C1C3D">
            <w:pPr>
              <w:jc w:val="center"/>
              <w:rPr>
                <w:rFonts w:ascii="宋体" w:hAnsi="宋体"/>
                <w:color w:val="000000" w:themeColor="text1"/>
                <w:szCs w:val="24"/>
                <w14:textFill>
                  <w14:solidFill>
                    <w14:schemeClr w14:val="tx1"/>
                  </w14:solidFill>
                </w14:textFill>
              </w:rPr>
            </w:pPr>
          </w:p>
        </w:tc>
        <w:tc>
          <w:tcPr>
            <w:tcW w:w="962" w:type="pct"/>
          </w:tcPr>
          <w:p w14:paraId="422421C2">
            <w:pPr>
              <w:rPr>
                <w:rFonts w:ascii="宋体" w:hAnsi="宋体"/>
                <w:color w:val="000000" w:themeColor="text1"/>
                <w:szCs w:val="24"/>
                <w14:textFill>
                  <w14:solidFill>
                    <w14:schemeClr w14:val="tx1"/>
                  </w14:solidFill>
                </w14:textFill>
              </w:rPr>
            </w:pPr>
          </w:p>
        </w:tc>
        <w:tc>
          <w:tcPr>
            <w:tcW w:w="3484" w:type="pct"/>
          </w:tcPr>
          <w:p w14:paraId="7F2FE1E5">
            <w:pPr>
              <w:rPr>
                <w:rFonts w:asciiTheme="minorEastAsia" w:hAnsiTheme="minorEastAsia" w:eastAsiaTheme="minorEastAsia"/>
                <w:color w:val="000000" w:themeColor="text1"/>
                <w14:textFill>
                  <w14:solidFill>
                    <w14:schemeClr w14:val="tx1"/>
                  </w14:solidFill>
                </w14:textFill>
              </w:rPr>
            </w:pPr>
          </w:p>
        </w:tc>
      </w:tr>
      <w:tr w14:paraId="53BA9FDF">
        <w:tblPrEx>
          <w:tblCellMar>
            <w:top w:w="0" w:type="dxa"/>
            <w:left w:w="108" w:type="dxa"/>
            <w:bottom w:w="0" w:type="dxa"/>
            <w:right w:w="108" w:type="dxa"/>
          </w:tblCellMar>
        </w:tblPrEx>
        <w:trPr>
          <w:trHeight w:val="4992" w:hRule="exact"/>
        </w:trPr>
        <w:tc>
          <w:tcPr>
            <w:tcW w:w="552" w:type="pct"/>
            <w:shd w:val="clear" w:color="auto" w:fill="auto"/>
            <w:vAlign w:val="top"/>
          </w:tcPr>
          <w:p w14:paraId="78EFC25D">
            <w:pPr>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asciiTheme="minorHAnsi" w:hAnsiTheme="minorHAnsi" w:cstheme="minorHAnsi"/>
                <w:b/>
              </w:rPr>
              <w:t>2</w:t>
            </w:r>
            <w:r>
              <w:rPr>
                <w:rFonts w:hint="eastAsia" w:asciiTheme="minorHAnsi" w:hAnsiTheme="minorHAnsi" w:cstheme="minorHAnsi"/>
                <w:b/>
              </w:rPr>
              <w:t>.2.</w:t>
            </w:r>
            <w:r>
              <w:rPr>
                <w:rFonts w:hint="eastAsia" w:asciiTheme="minorHAnsi" w:hAnsiTheme="minorHAnsi" w:cstheme="minorHAnsi"/>
                <w:b/>
                <w:lang w:val="en-US" w:eastAsia="zh-CN"/>
              </w:rPr>
              <w:t>2</w:t>
            </w:r>
          </w:p>
        </w:tc>
        <w:tc>
          <w:tcPr>
            <w:tcW w:w="962" w:type="pct"/>
            <w:shd w:val="clear" w:color="auto" w:fill="auto"/>
            <w:vAlign w:val="top"/>
          </w:tcPr>
          <w:p w14:paraId="57E703C2">
            <w:pPr>
              <w:adjustRightInd w:val="0"/>
              <w:snapToGrid w:val="0"/>
              <w:rPr>
                <w:rFonts w:hint="eastAsia" w:ascii="华文新魏" w:hAnsi="宋体" w:eastAsia="华文新魏" w:cs="Times New Roman"/>
                <w:b/>
                <w:color w:val="000000" w:themeColor="text1"/>
                <w:kern w:val="2"/>
                <w:sz w:val="24"/>
                <w:szCs w:val="22"/>
                <w:lang w:val="en-US" w:eastAsia="zh-CN" w:bidi="ar-SA"/>
                <w14:textFill>
                  <w14:solidFill>
                    <w14:schemeClr w14:val="tx1"/>
                  </w14:solidFill>
                </w14:textFill>
              </w:rPr>
            </w:pPr>
            <w:r>
              <w:rPr>
                <w:rFonts w:hint="eastAsia" w:ascii="华文新魏" w:hAnsi="宋体" w:eastAsia="华文新魏"/>
                <w:b/>
                <w:color w:val="000000" w:themeColor="text1"/>
                <w:sz w:val="24"/>
                <w:lang w:val="en-US" w:eastAsia="zh-CN"/>
                <w14:textFill>
                  <w14:solidFill>
                    <w14:schemeClr w14:val="tx1"/>
                  </w14:solidFill>
                </w14:textFill>
              </w:rPr>
              <w:t>特定</w:t>
            </w:r>
            <w:r>
              <w:rPr>
                <w:rFonts w:hint="eastAsia" w:ascii="华文新魏" w:hAnsi="宋体" w:eastAsia="华文新魏"/>
                <w:b/>
                <w:color w:val="000000" w:themeColor="text1"/>
                <w:sz w:val="24"/>
                <w14:textFill>
                  <w14:solidFill>
                    <w14:schemeClr w14:val="tx1"/>
                  </w14:solidFill>
                </w14:textFill>
              </w:rPr>
              <w:t>疾病保险金</w:t>
            </w:r>
            <w:r>
              <w:rPr>
                <w:rFonts w:hint="eastAsia" w:ascii="华文新魏" w:hAnsi="宋体" w:eastAsia="华文新魏"/>
                <w:b/>
                <w:color w:val="000000" w:themeColor="text1"/>
                <w:sz w:val="24"/>
                <w:lang w:eastAsia="zh-CN"/>
                <w14:textFill>
                  <w14:solidFill>
                    <w14:schemeClr w14:val="tx1"/>
                  </w14:solidFill>
                </w14:textFill>
              </w:rPr>
              <w:t>（</w:t>
            </w:r>
            <w:r>
              <w:rPr>
                <w:rFonts w:hint="eastAsia" w:ascii="华文新魏" w:hAnsi="宋体" w:eastAsia="华文新魏"/>
                <w:b/>
                <w:color w:val="000000" w:themeColor="text1"/>
                <w:sz w:val="24"/>
                <w:lang w:val="en-US" w:eastAsia="zh-CN"/>
                <w14:textFill>
                  <w14:solidFill>
                    <w14:schemeClr w14:val="tx1"/>
                  </w14:solidFill>
                </w14:textFill>
              </w:rPr>
              <w:t>必选</w:t>
            </w:r>
            <w:r>
              <w:rPr>
                <w:rFonts w:hint="eastAsia" w:ascii="华文新魏" w:hAnsi="宋体" w:eastAsia="华文新魏"/>
                <w:b/>
                <w:color w:val="000000" w:themeColor="text1"/>
                <w:sz w:val="24"/>
                <w:lang w:eastAsia="zh-CN"/>
                <w14:textFill>
                  <w14:solidFill>
                    <w14:schemeClr w14:val="tx1"/>
                  </w14:solidFill>
                </w14:textFill>
              </w:rPr>
              <w:t>）</w:t>
            </w:r>
          </w:p>
        </w:tc>
        <w:tc>
          <w:tcPr>
            <w:tcW w:w="3484" w:type="pct"/>
            <w:shd w:val="clear" w:color="auto" w:fill="auto"/>
            <w:vAlign w:val="top"/>
          </w:tcPr>
          <w:p w14:paraId="7001775B">
            <w:pPr>
              <w:numPr>
                <w:ilvl w:val="-1"/>
                <w:numId w:val="0"/>
              </w:numPr>
              <w:spacing w:before="0" w:beforeLines="-2147483648" w:after="0" w:afterLines="-2147483648"/>
              <w:ind w:left="0" w:firstLine="0"/>
              <w:rPr>
                <w:rFonts w:hint="eastAsia" w:ascii="宋体" w:hAnsi="宋体" w:eastAsia="宋体"/>
                <w:color w:val="000000"/>
                <w:lang w:eastAsia="zh-CN"/>
              </w:rPr>
            </w:pPr>
            <w:r>
              <w:rPr>
                <w:rFonts w:hint="eastAsia" w:ascii="宋体" w:hAnsi="宋体" w:cs="宋体"/>
              </w:rPr>
              <w:t>在本主险合同保险期间内</w:t>
            </w: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（合同复效的则自最后一次复效之日起）</w:t>
            </w:r>
            <w:r>
              <w:rPr>
                <w:rFonts w:hint="eastAsia" w:ascii="宋体" w:hAnsi="宋体" w:cs="宋体"/>
              </w:rPr>
              <w:t>，被保险人因遭受意外伤害事故或在等待期后因意外伤害以外的原因，经我们认可的</w:t>
            </w:r>
            <w:r>
              <w:rPr>
                <w:rFonts w:hint="eastAsia" w:ascii="黑体" w:hAnsi="黑体" w:eastAsia="黑体"/>
                <w:b/>
              </w:rPr>
              <w:t>医院</w:t>
            </w:r>
            <w:r>
              <w:rPr>
                <w:rStyle w:val="23"/>
                <w:rFonts w:ascii="黑体" w:hAnsi="黑体" w:eastAsia="黑体"/>
                <w:b/>
              </w:rPr>
              <w:footnoteReference w:id="3"/>
            </w:r>
            <w:r>
              <w:rPr>
                <w:rFonts w:hint="eastAsia" w:ascii="宋体" w:hAnsi="宋体" w:cs="宋体"/>
              </w:rPr>
              <w:t>的</w:t>
            </w:r>
            <w:r>
              <w:rPr>
                <w:rFonts w:hint="eastAsia" w:ascii="黑体" w:hAnsi="黑体" w:eastAsia="黑体"/>
                <w:b/>
              </w:rPr>
              <w:t>专科医生</w:t>
            </w:r>
            <w:r>
              <w:rPr>
                <w:rStyle w:val="23"/>
                <w:rFonts w:ascii="黑体" w:hAnsi="黑体" w:eastAsia="黑体"/>
                <w:b/>
              </w:rPr>
              <w:footnoteReference w:id="4"/>
            </w:r>
            <w:r>
              <w:rPr>
                <w:rFonts w:hint="eastAsia" w:ascii="宋体" w:hAnsi="宋体" w:eastAsia="宋体" w:cs="宋体"/>
                <w:b w:val="0"/>
                <w:bCs/>
                <w:shd w:val="clear" w:color="FFFFFF" w:fill="D9D9D9"/>
              </w:rPr>
              <w:t>初次</w:t>
            </w:r>
            <w:r>
              <w:rPr>
                <w:rFonts w:hint="eastAsia" w:ascii="宋体" w:hAnsi="宋体" w:cs="宋体"/>
                <w:bCs/>
                <w:shd w:val="clear" w:color="FFFFFF" w:fill="D9D9D9"/>
              </w:rPr>
              <w:t>确诊</w:t>
            </w:r>
            <w:r>
              <w:rPr>
                <w:rFonts w:hint="eastAsia" w:ascii="宋体" w:hAnsi="宋体" w:cs="宋体"/>
                <w:bCs/>
                <w:shd w:val="clear" w:color="FFFFFF" w:fill="D9D9D9"/>
                <w:lang w:val="en-US" w:eastAsia="zh-CN"/>
              </w:rPr>
              <w:t>符合本主险合同所附</w:t>
            </w:r>
            <w:r>
              <w:rPr>
                <w:rFonts w:hint="eastAsia" w:ascii="宋体" w:hAnsi="宋体" w:cs="宋体"/>
                <w:b/>
                <w:bCs w:val="0"/>
                <w:shd w:val="clear" w:color="FFFFFF" w:fill="D9D9D9"/>
                <w:lang w:val="en-US" w:eastAsia="zh-CN"/>
              </w:rPr>
              <w:t>特定疾病清单（详见附表1）</w:t>
            </w:r>
            <w:r>
              <w:rPr>
                <w:rFonts w:hint="eastAsia" w:ascii="宋体" w:hAnsi="宋体" w:cs="宋体"/>
                <w:shd w:val="clear" w:color="FFFFFF" w:fill="D9D9D9"/>
              </w:rPr>
              <w:t>定义的</w:t>
            </w:r>
            <w:r>
              <w:rPr>
                <w:rFonts w:hint="eastAsia" w:ascii="宋体" w:hAnsi="宋体" w:cs="宋体"/>
                <w:shd w:val="clear" w:color="FFFFFF" w:fill="D9D9D9"/>
                <w:lang w:val="en-US" w:eastAsia="zh-CN"/>
              </w:rPr>
              <w:t>特定</w:t>
            </w:r>
            <w:r>
              <w:rPr>
                <w:rFonts w:hint="eastAsia" w:ascii="宋体" w:hAnsi="宋体" w:cs="宋体"/>
                <w:shd w:val="clear" w:color="FFFFFF" w:fill="D9D9D9"/>
              </w:rPr>
              <w:t>疾病</w:t>
            </w:r>
            <w:r>
              <w:rPr>
                <w:rFonts w:hint="eastAsia" w:ascii="宋体" w:hAnsi="宋体" w:cs="宋体"/>
                <w:shd w:val="clear" w:color="FFFFFF" w:fill="D9D9D9"/>
                <w:lang w:eastAsia="zh-CN"/>
              </w:rPr>
              <w:t>（</w:t>
            </w:r>
            <w:r>
              <w:rPr>
                <w:rFonts w:hint="eastAsia" w:ascii="宋体" w:hAnsi="宋体" w:cs="宋体"/>
                <w:shd w:val="clear" w:color="FFFFFF" w:fill="D9D9D9"/>
                <w:lang w:val="en-US" w:eastAsia="zh-CN"/>
              </w:rPr>
              <w:t>不论一种或多种</w:t>
            </w:r>
            <w:r>
              <w:rPr>
                <w:rFonts w:hint="eastAsia" w:ascii="宋体" w:hAnsi="宋体" w:cs="宋体"/>
                <w:shd w:val="clear" w:color="FFFFFF" w:fill="D9D9D9"/>
                <w:lang w:eastAsia="zh-CN"/>
              </w:rPr>
              <w:t>）</w:t>
            </w:r>
            <w:r>
              <w:rPr>
                <w:rFonts w:hint="eastAsia" w:ascii="宋体" w:hAnsi="宋体" w:cs="宋体"/>
                <w:shd w:val="clear" w:color="FFFFFF" w:fill="D9D9D9"/>
              </w:rPr>
              <w:t>，</w:t>
            </w:r>
            <w:r>
              <w:rPr>
                <w:rFonts w:hint="eastAsia" w:ascii="宋体" w:hAnsi="宋体" w:cs="宋体"/>
                <w:shd w:val="clear" w:color="FFFFFF" w:fill="D9D9D9"/>
                <w:lang w:val="en-US" w:eastAsia="zh-CN"/>
              </w:rPr>
              <w:t>我们</w:t>
            </w:r>
            <w:r>
              <w:rPr>
                <w:rFonts w:hint="eastAsia" w:ascii="宋体" w:hAnsi="宋体"/>
                <w:color w:val="000000"/>
                <w:shd w:val="clear" w:color="FFFFFF" w:fill="D9D9D9"/>
              </w:rPr>
              <w:t>按</w:t>
            </w:r>
            <w:r>
              <w:rPr>
                <w:rFonts w:hint="eastAsia" w:ascii="宋体" w:hAnsi="宋体"/>
                <w:color w:val="000000"/>
                <w:shd w:val="clear" w:color="FFFFFF" w:fill="D9D9D9"/>
                <w:lang w:val="en-US" w:eastAsia="zh-CN"/>
              </w:rPr>
              <w:t>下列约定</w:t>
            </w:r>
            <w:r>
              <w:rPr>
                <w:rFonts w:hint="eastAsia" w:ascii="宋体" w:hAnsi="宋体"/>
                <w:color w:val="000000"/>
                <w:shd w:val="clear" w:color="FFFFFF" w:fill="D9D9D9"/>
              </w:rPr>
              <w:t>给付特定疾病保险金，</w:t>
            </w:r>
            <w:r>
              <w:rPr>
                <w:rFonts w:hint="eastAsia" w:ascii="宋体" w:hAnsi="宋体"/>
                <w:b/>
                <w:bCs/>
                <w:color w:val="000000"/>
                <w:shd w:val="clear" w:color="FFFFFF" w:fill="D9D9D9"/>
              </w:rPr>
              <w:t>同时本</w:t>
            </w:r>
            <w:r>
              <w:rPr>
                <w:rFonts w:hint="eastAsia" w:ascii="宋体" w:hAnsi="宋体"/>
                <w:b/>
                <w:bCs/>
                <w:color w:val="000000"/>
                <w:shd w:val="clear" w:color="FFFFFF" w:fill="D9D9D9"/>
                <w:lang w:val="en-US" w:eastAsia="zh-CN"/>
              </w:rPr>
              <w:t>主险</w:t>
            </w:r>
            <w:r>
              <w:rPr>
                <w:rFonts w:hint="eastAsia" w:ascii="宋体" w:hAnsi="宋体"/>
                <w:b/>
                <w:bCs/>
                <w:color w:val="000000"/>
                <w:shd w:val="clear" w:color="FFFFFF" w:fill="D9D9D9"/>
              </w:rPr>
              <w:t>合同终止</w:t>
            </w:r>
            <w:r>
              <w:rPr>
                <w:rFonts w:hint="eastAsia" w:ascii="宋体" w:hAnsi="宋体"/>
                <w:b/>
                <w:bCs/>
                <w:color w:val="000000"/>
                <w:shd w:val="clear" w:color="FFFFFF" w:fill="D9D9D9"/>
                <w:lang w:eastAsia="zh-CN"/>
              </w:rPr>
              <w:t>：</w:t>
            </w:r>
          </w:p>
          <w:p w14:paraId="1CAFF980">
            <w:pPr>
              <w:numPr>
                <w:ilvl w:val="0"/>
                <w:numId w:val="4"/>
              </w:numPr>
              <w:spacing w:before="0" w:beforeLines="-2147483648" w:after="0" w:afterLines="-2147483648"/>
              <w:ind w:left="425" w:leftChars="0" w:hanging="425" w:firstLineChars="0"/>
              <w:rPr>
                <w:rFonts w:hint="eastAsia" w:ascii="宋体" w:hAnsi="宋体"/>
                <w:color w:val="000000"/>
              </w:rPr>
            </w:pPr>
            <w:r>
              <w:rPr>
                <w:rFonts w:hint="eastAsia" w:ascii="宋体" w:hAnsi="宋体"/>
                <w:color w:val="000000"/>
                <w:lang w:val="en-US" w:eastAsia="zh-CN"/>
              </w:rPr>
              <w:t>若</w:t>
            </w:r>
            <w:r>
              <w:rPr>
                <w:rFonts w:hint="eastAsia" w:ascii="宋体" w:hAnsi="宋体"/>
                <w:color w:val="000000"/>
              </w:rPr>
              <w:t>被保险人</w:t>
            </w:r>
            <w:r>
              <w:rPr>
                <w:rFonts w:hint="eastAsia" w:ascii="宋体" w:hAnsi="宋体"/>
                <w:color w:val="000000"/>
                <w:lang w:eastAsia="zh-CN"/>
              </w:rPr>
              <w:t>在</w:t>
            </w:r>
            <w:r>
              <w:rPr>
                <w:rFonts w:hint="eastAsia" w:ascii="宋体" w:hAnsi="宋体"/>
                <w:color w:val="000000"/>
                <w:lang w:val="en-US" w:eastAsia="zh-CN"/>
              </w:rPr>
              <w:t>8</w:t>
            </w:r>
            <w:r>
              <w:rPr>
                <w:rFonts w:hint="eastAsia" w:ascii="宋体" w:hAnsi="宋体"/>
                <w:color w:val="000000"/>
              </w:rPr>
              <w:t>0周岁</w:t>
            </w:r>
            <w:r>
              <w:rPr>
                <w:rFonts w:hint="eastAsia" w:cs="宋体"/>
                <w:b w:val="0"/>
                <w:bCs/>
                <w:lang w:val="en-US" w:eastAsia="zh-CN"/>
              </w:rPr>
              <w:t>的</w:t>
            </w:r>
            <w:r>
              <w:rPr>
                <w:rFonts w:hint="eastAsia" w:ascii="黑体" w:hAnsi="黑体" w:eastAsia="黑体"/>
                <w:b/>
                <w:color w:val="000000" w:themeColor="text1"/>
                <w:lang w:val="en-US" w:eastAsia="zh-CN"/>
                <w14:textFill>
                  <w14:solidFill>
                    <w14:schemeClr w14:val="tx1"/>
                  </w14:solidFill>
                </w14:textFill>
              </w:rPr>
              <w:t>合同年生效对应日</w:t>
            </w:r>
            <w:r>
              <w:rPr>
                <w:rStyle w:val="23"/>
                <w:rFonts w:ascii="黑体" w:hAnsi="黑体" w:eastAsia="黑体"/>
                <w:b/>
                <w:color w:val="000000" w:themeColor="text1"/>
                <w14:textFill>
                  <w14:solidFill>
                    <w14:schemeClr w14:val="tx1"/>
                  </w14:solidFill>
                </w14:textFill>
              </w:rPr>
              <w:footnoteReference w:id="5"/>
            </w:r>
            <w:r>
              <w:rPr>
                <w:rFonts w:hint="eastAsia" w:cs="宋体"/>
                <w:b w:val="0"/>
                <w:bCs/>
                <w:lang w:val="en-US" w:eastAsia="zh-CN"/>
              </w:rPr>
              <w:t>前（不含当天）确诊特定疾病</w:t>
            </w:r>
            <w:r>
              <w:rPr>
                <w:rFonts w:hint="eastAsia" w:ascii="宋体" w:hAnsi="宋体"/>
                <w:color w:val="000000"/>
              </w:rPr>
              <w:t>，</w:t>
            </w:r>
            <w:r>
              <w:rPr>
                <w:rFonts w:hint="eastAsia" w:ascii="宋体" w:hAnsi="宋体"/>
                <w:color w:val="000000"/>
                <w:shd w:val="clear" w:color="FFFFFF" w:fill="D9D9D9"/>
                <w:lang w:val="en-US" w:eastAsia="zh-CN"/>
              </w:rPr>
              <w:t>我们</w:t>
            </w:r>
            <w:r>
              <w:rPr>
                <w:rFonts w:hint="eastAsia" w:ascii="宋体" w:hAnsi="宋体"/>
                <w:color w:val="000000"/>
                <w:shd w:val="clear" w:color="FFFFFF" w:fill="D9D9D9"/>
              </w:rPr>
              <w:t>将按</w:t>
            </w:r>
            <w:r>
              <w:rPr>
                <w:rFonts w:hint="eastAsia" w:ascii="宋体" w:hAnsi="宋体"/>
                <w:color w:val="000000"/>
                <w:shd w:val="clear" w:color="FFFFFF" w:fill="D9D9D9"/>
                <w:lang w:val="en-US" w:eastAsia="zh-CN"/>
              </w:rPr>
              <w:t>下列</w:t>
            </w:r>
            <w:r>
              <w:rPr>
                <w:rFonts w:hint="eastAsia" w:ascii="宋体" w:hAnsi="宋体"/>
                <w:color w:val="000000"/>
                <w:shd w:val="clear" w:color="FFFFFF" w:fill="D9D9D9"/>
              </w:rPr>
              <w:t>两项金额中的较大者给付特定疾病保险金</w:t>
            </w:r>
            <w:r>
              <w:rPr>
                <w:rFonts w:hint="eastAsia" w:ascii="宋体" w:hAnsi="宋体"/>
                <w:color w:val="000000"/>
                <w:shd w:val="clear" w:color="FFFFFF" w:fill="D9D9D9"/>
                <w:lang w:eastAsia="zh-CN"/>
              </w:rPr>
              <w:t>，</w:t>
            </w:r>
            <w:r>
              <w:rPr>
                <w:rFonts w:hint="eastAsia" w:ascii="宋体" w:hAnsi="宋体"/>
                <w:color w:val="000000"/>
                <w:shd w:val="clear" w:color="FFFFFF" w:fill="D9D9D9"/>
                <w:lang w:val="en-US" w:eastAsia="zh-CN"/>
              </w:rPr>
              <w:t>同时本主险合同终止</w:t>
            </w:r>
            <w:r>
              <w:rPr>
                <w:rFonts w:hint="eastAsia" w:ascii="宋体" w:hAnsi="宋体"/>
                <w:color w:val="000000"/>
              </w:rPr>
              <w:t>：</w:t>
            </w:r>
          </w:p>
          <w:p w14:paraId="55DB2652">
            <w:pPr>
              <w:numPr>
                <w:ilvl w:val="0"/>
                <w:numId w:val="5"/>
              </w:numPr>
              <w:spacing w:before="0" w:beforeLines="-2147483648" w:after="0" w:afterLines="-2147483648"/>
              <w:ind w:left="425" w:leftChars="0" w:hanging="425" w:firstLineChars="0"/>
              <w:rPr>
                <w:rFonts w:hint="eastAsia" w:ascii="宋体" w:hAnsi="宋体" w:eastAsia="宋体"/>
                <w:color w:val="000000"/>
                <w:lang w:eastAsia="zh-CN"/>
              </w:rPr>
            </w:pPr>
            <w:r>
              <w:rPr>
                <w:rFonts w:hint="eastAsia" w:ascii="宋体" w:hAnsi="宋体"/>
                <w:color w:val="000000"/>
                <w:lang w:val="en-US" w:eastAsia="zh-CN"/>
              </w:rPr>
              <w:t>特定疾病确诊</w:t>
            </w:r>
            <w:r>
              <w:rPr>
                <w:rFonts w:hint="eastAsia" w:ascii="宋体" w:hAnsi="宋体"/>
                <w:color w:val="000000"/>
              </w:rPr>
              <w:t>时本</w:t>
            </w:r>
            <w:r>
              <w:rPr>
                <w:rFonts w:hint="eastAsia" w:ascii="宋体" w:hAnsi="宋体"/>
                <w:color w:val="000000"/>
                <w:lang w:val="en-US" w:eastAsia="zh-CN"/>
              </w:rPr>
              <w:t>主险</w:t>
            </w:r>
            <w:r>
              <w:rPr>
                <w:rFonts w:hint="eastAsia" w:ascii="宋体" w:hAnsi="宋体"/>
                <w:color w:val="000000"/>
              </w:rPr>
              <w:t>合同的</w:t>
            </w:r>
            <w:r>
              <w:rPr>
                <w:rFonts w:hint="eastAsia" w:ascii="黑体" w:hAnsi="黑体" w:eastAsia="黑体" w:cs="黑体"/>
                <w:b/>
                <w:bCs/>
                <w:color w:val="000000"/>
              </w:rPr>
              <w:t>已交保险费</w:t>
            </w:r>
            <w:r>
              <w:rPr>
                <w:rStyle w:val="23"/>
                <w:rFonts w:ascii="黑体" w:hAnsi="黑体" w:eastAsia="黑体"/>
                <w:b/>
                <w:color w:val="000000" w:themeColor="text1"/>
                <w14:textFill>
                  <w14:solidFill>
                    <w14:schemeClr w14:val="tx1"/>
                  </w14:solidFill>
                </w14:textFill>
              </w:rPr>
              <w:footnoteReference w:id="6"/>
            </w:r>
            <w:r>
              <w:rPr>
                <w:rFonts w:hint="eastAsia" w:ascii="宋体" w:hAnsi="宋体"/>
                <w:color w:val="000000"/>
                <w:lang w:val="en-US" w:eastAsia="zh-CN"/>
              </w:rPr>
              <w:t>的</w:t>
            </w:r>
            <w:r>
              <w:rPr>
                <w:rFonts w:hint="eastAsia" w:ascii="宋体" w:hAnsi="宋体"/>
                <w:b/>
                <w:bCs/>
                <w:color w:val="000000"/>
              </w:rPr>
              <w:t>120%</w:t>
            </w:r>
            <w:r>
              <w:rPr>
                <w:rFonts w:hint="eastAsia" w:ascii="宋体" w:hAnsi="宋体"/>
                <w:b/>
                <w:bCs/>
                <w:color w:val="000000"/>
                <w:lang w:eastAsia="zh-CN"/>
              </w:rPr>
              <w:t>；</w:t>
            </w:r>
          </w:p>
          <w:p w14:paraId="31AAC1A6">
            <w:pPr>
              <w:numPr>
                <w:ilvl w:val="0"/>
                <w:numId w:val="5"/>
              </w:numPr>
              <w:spacing w:before="0" w:beforeLines="-2147483648" w:after="0" w:afterLines="-2147483648"/>
              <w:ind w:left="425" w:leftChars="0" w:hanging="425" w:firstLineChars="0"/>
              <w:rPr>
                <w:rFonts w:hint="eastAsia" w:ascii="宋体" w:hAnsi="宋体"/>
                <w:color w:val="000000"/>
              </w:rPr>
            </w:pPr>
            <w:r>
              <w:rPr>
                <w:rFonts w:hint="eastAsia" w:ascii="宋体" w:hAnsi="宋体"/>
                <w:color w:val="000000"/>
                <w:lang w:val="en-US" w:eastAsia="zh-CN"/>
              </w:rPr>
              <w:t>特定疾病确诊</w:t>
            </w:r>
            <w:r>
              <w:rPr>
                <w:rFonts w:hint="eastAsia" w:ascii="宋体" w:hAnsi="宋体"/>
                <w:color w:val="000000"/>
              </w:rPr>
              <w:t>时本</w:t>
            </w:r>
            <w:r>
              <w:rPr>
                <w:rFonts w:hint="eastAsia" w:ascii="宋体" w:hAnsi="宋体"/>
                <w:color w:val="000000"/>
                <w:lang w:val="en-US" w:eastAsia="zh-CN"/>
              </w:rPr>
              <w:t>主险</w:t>
            </w:r>
            <w:r>
              <w:rPr>
                <w:rFonts w:hint="eastAsia" w:ascii="宋体" w:hAnsi="宋体"/>
                <w:color w:val="000000"/>
              </w:rPr>
              <w:t>合同的</w:t>
            </w:r>
            <w:r>
              <w:rPr>
                <w:rFonts w:hint="eastAsia" w:ascii="黑体" w:hAnsi="黑体" w:eastAsia="黑体" w:cs="黑体"/>
                <w:b/>
                <w:bCs/>
                <w:color w:val="000000"/>
              </w:rPr>
              <w:t>现金价值</w:t>
            </w:r>
            <w:r>
              <w:rPr>
                <w:rStyle w:val="23"/>
                <w:rFonts w:ascii="黑体" w:hAnsi="黑体" w:eastAsia="黑体"/>
                <w:b/>
                <w:color w:val="000000" w:themeColor="text1"/>
                <w:kern w:val="2"/>
                <w:szCs w:val="22"/>
                <w:shd w:val="clear" w:color="auto" w:fill="auto"/>
                <w14:textFill>
                  <w14:solidFill>
                    <w14:schemeClr w14:val="tx1"/>
                  </w14:solidFill>
                </w14:textFill>
              </w:rPr>
              <w:footnoteReference w:id="7"/>
            </w:r>
            <w:r>
              <w:rPr>
                <w:rFonts w:hint="eastAsia" w:ascii="宋体" w:hAnsi="宋体"/>
                <w:color w:val="000000"/>
              </w:rPr>
              <w:t>。</w:t>
            </w:r>
          </w:p>
          <w:p w14:paraId="0909AC52">
            <w:pPr>
              <w:numPr>
                <w:ilvl w:val="0"/>
                <w:numId w:val="4"/>
              </w:numPr>
              <w:spacing w:before="0" w:beforeLines="-2147483648" w:after="0" w:afterLines="-2147483648"/>
              <w:ind w:left="425" w:leftChars="0" w:hanging="425" w:firstLineChars="0"/>
              <w:rPr>
                <w:rFonts w:hint="eastAsia" w:ascii="宋体" w:hAnsi="宋体"/>
                <w:color w:val="000000"/>
              </w:rPr>
            </w:pPr>
            <w:r>
              <w:rPr>
                <w:rFonts w:hint="eastAsia" w:cs="宋体"/>
                <w:b w:val="0"/>
                <w:bCs/>
                <w:lang w:val="en-US" w:eastAsia="zh-CN"/>
              </w:rPr>
              <w:t>若被保险人在</w:t>
            </w:r>
            <w:r>
              <w:rPr>
                <w:rFonts w:hint="eastAsia" w:ascii="宋体" w:hAnsi="宋体" w:cs="宋体"/>
                <w:b w:val="0"/>
                <w:bCs/>
                <w:lang w:val="en-US" w:eastAsia="zh-CN"/>
              </w:rPr>
              <w:t>80</w:t>
            </w:r>
            <w:r>
              <w:rPr>
                <w:rFonts w:hint="eastAsia" w:cs="宋体"/>
                <w:b w:val="0"/>
                <w:bCs/>
                <w:lang w:val="en-US" w:eastAsia="zh-CN"/>
              </w:rPr>
              <w:t>周岁的合同年生效对应日后（含当天）确诊特定疾病</w:t>
            </w:r>
            <w:r>
              <w:rPr>
                <w:rFonts w:hint="eastAsia" w:ascii="宋体" w:hAnsi="宋体"/>
                <w:color w:val="000000"/>
              </w:rPr>
              <w:t>，</w:t>
            </w:r>
            <w:r>
              <w:rPr>
                <w:rFonts w:hint="eastAsia" w:ascii="宋体" w:hAnsi="宋体"/>
                <w:color w:val="000000"/>
                <w:shd w:val="clear" w:color="FFFFFF" w:fill="D9D9D9"/>
                <w:lang w:val="en-US" w:eastAsia="zh-CN"/>
              </w:rPr>
              <w:t>我们</w:t>
            </w:r>
            <w:r>
              <w:rPr>
                <w:rFonts w:hint="eastAsia" w:ascii="宋体" w:hAnsi="宋体"/>
                <w:color w:val="000000"/>
                <w:shd w:val="clear" w:color="FFFFFF" w:fill="D9D9D9"/>
              </w:rPr>
              <w:t>将按</w:t>
            </w:r>
            <w:r>
              <w:rPr>
                <w:rFonts w:hint="eastAsia" w:ascii="宋体" w:hAnsi="宋体"/>
                <w:color w:val="000000"/>
                <w:shd w:val="clear" w:color="FFFFFF" w:fill="D9D9D9"/>
                <w:lang w:val="en-US" w:eastAsia="zh-CN"/>
              </w:rPr>
              <w:t>下列</w:t>
            </w:r>
            <w:r>
              <w:rPr>
                <w:rFonts w:hint="eastAsia" w:ascii="宋体" w:hAnsi="宋体"/>
                <w:color w:val="000000"/>
                <w:shd w:val="clear" w:color="FFFFFF" w:fill="D9D9D9"/>
              </w:rPr>
              <w:t>三项金额中的较大者给付特定疾病保险金</w:t>
            </w:r>
            <w:r>
              <w:rPr>
                <w:rFonts w:hint="eastAsia" w:ascii="宋体" w:hAnsi="宋体"/>
                <w:color w:val="000000"/>
                <w:shd w:val="clear" w:color="FFFFFF" w:fill="D9D9D9"/>
                <w:lang w:eastAsia="zh-CN"/>
              </w:rPr>
              <w:t>，</w:t>
            </w:r>
            <w:r>
              <w:rPr>
                <w:rFonts w:hint="eastAsia" w:ascii="宋体" w:hAnsi="宋体"/>
                <w:color w:val="000000"/>
                <w:shd w:val="clear" w:color="FFFFFF" w:fill="D9D9D9"/>
                <w:lang w:val="en-US" w:eastAsia="zh-CN"/>
              </w:rPr>
              <w:t>同时本主险合同终止</w:t>
            </w:r>
            <w:r>
              <w:rPr>
                <w:rFonts w:hint="eastAsia" w:ascii="宋体" w:hAnsi="宋体"/>
                <w:color w:val="000000"/>
              </w:rPr>
              <w:t>：</w:t>
            </w:r>
          </w:p>
          <w:p w14:paraId="0F8DFBB0">
            <w:pPr>
              <w:numPr>
                <w:ilvl w:val="0"/>
                <w:numId w:val="6"/>
              </w:numPr>
              <w:spacing w:before="0" w:beforeLines="-2147483648" w:after="0" w:afterLines="-2147483648" w:line="240" w:lineRule="auto"/>
              <w:ind w:left="425" w:leftChars="0" w:hanging="425" w:firstLineChars="0"/>
              <w:rPr>
                <w:rFonts w:hint="eastAsia" w:ascii="宋体" w:hAnsi="宋体"/>
                <w:color w:val="000000"/>
              </w:rPr>
            </w:pPr>
            <w:r>
              <w:rPr>
                <w:rFonts w:hint="eastAsia" w:ascii="宋体" w:hAnsi="宋体"/>
                <w:color w:val="000000"/>
                <w:lang w:val="en-US" w:eastAsia="zh-CN"/>
              </w:rPr>
              <w:t>特定疾病确诊</w:t>
            </w:r>
            <w:r>
              <w:rPr>
                <w:rFonts w:hint="eastAsia" w:ascii="宋体" w:hAnsi="宋体"/>
                <w:color w:val="000000"/>
              </w:rPr>
              <w:t>时本</w:t>
            </w:r>
            <w:r>
              <w:rPr>
                <w:rFonts w:hint="eastAsia" w:ascii="宋体" w:hAnsi="宋体"/>
                <w:color w:val="000000"/>
                <w:lang w:val="en-US" w:eastAsia="zh-CN"/>
              </w:rPr>
              <w:t>主险</w:t>
            </w:r>
            <w:r>
              <w:rPr>
                <w:rFonts w:hint="eastAsia" w:ascii="宋体" w:hAnsi="宋体"/>
                <w:color w:val="000000"/>
              </w:rPr>
              <w:t>合同的已交保险费</w:t>
            </w:r>
            <w:r>
              <w:rPr>
                <w:rFonts w:hint="eastAsia" w:ascii="宋体" w:hAnsi="宋体"/>
                <w:color w:val="000000"/>
                <w:lang w:val="en-US" w:eastAsia="zh-CN"/>
              </w:rPr>
              <w:t>的</w:t>
            </w:r>
            <w:r>
              <w:rPr>
                <w:rFonts w:ascii="宋体" w:hAnsi="宋体"/>
                <w:b/>
                <w:bCs/>
                <w:color w:val="000000"/>
              </w:rPr>
              <w:t>120%</w:t>
            </w:r>
            <w:r>
              <w:rPr>
                <w:rFonts w:hint="eastAsia" w:ascii="宋体" w:hAnsi="宋体"/>
                <w:color w:val="000000"/>
              </w:rPr>
              <w:t>；</w:t>
            </w:r>
          </w:p>
          <w:p w14:paraId="68406CB0">
            <w:pPr>
              <w:numPr>
                <w:ilvl w:val="0"/>
                <w:numId w:val="6"/>
              </w:numPr>
              <w:spacing w:before="0" w:beforeLines="-2147483648" w:after="0" w:afterLines="-2147483648" w:line="240" w:lineRule="auto"/>
              <w:ind w:left="425" w:leftChars="0" w:hanging="425" w:firstLineChars="0"/>
              <w:rPr>
                <w:rFonts w:hint="eastAsia" w:ascii="宋体" w:hAnsi="宋体"/>
                <w:color w:val="000000"/>
              </w:rPr>
            </w:pPr>
            <w:r>
              <w:rPr>
                <w:rFonts w:hint="eastAsia" w:ascii="宋体" w:hAnsi="宋体"/>
                <w:color w:val="000000"/>
                <w:lang w:val="en-US" w:eastAsia="zh-CN"/>
              </w:rPr>
              <w:t>特定疾病确诊</w:t>
            </w:r>
            <w:r>
              <w:rPr>
                <w:rFonts w:hint="eastAsia" w:ascii="宋体" w:hAnsi="宋体"/>
                <w:color w:val="000000"/>
              </w:rPr>
              <w:t>时本</w:t>
            </w:r>
            <w:r>
              <w:rPr>
                <w:rFonts w:hint="eastAsia" w:ascii="宋体" w:hAnsi="宋体"/>
                <w:color w:val="000000"/>
                <w:lang w:val="en-US" w:eastAsia="zh-CN"/>
              </w:rPr>
              <w:t>主险</w:t>
            </w:r>
            <w:r>
              <w:rPr>
                <w:rFonts w:hint="eastAsia" w:ascii="宋体" w:hAnsi="宋体"/>
                <w:color w:val="000000"/>
              </w:rPr>
              <w:t>合同的现金价值；</w:t>
            </w:r>
          </w:p>
          <w:p w14:paraId="28F4CB3F">
            <w:pPr>
              <w:numPr>
                <w:ilvl w:val="0"/>
                <w:numId w:val="6"/>
              </w:numPr>
              <w:ind w:left="425" w:hanging="425"/>
              <w:rPr>
                <w:rFonts w:hint="eastAsia" w:ascii="宋体" w:hAnsi="宋体" w:eastAsia="宋体" w:cs="宋体"/>
                <w:kern w:val="2"/>
                <w:sz w:val="21"/>
                <w:szCs w:val="22"/>
                <w:shd w:val="pct10" w:color="auto" w:fill="FFFFFF"/>
                <w:lang w:val="en-US" w:eastAsia="zh-CN" w:bidi="ar-SA"/>
              </w:rPr>
            </w:pPr>
            <w:r>
              <w:rPr>
                <w:rFonts w:hint="eastAsia" w:ascii="宋体" w:hAnsi="宋体"/>
                <w:color w:val="000000"/>
                <w:lang w:val="en-US" w:eastAsia="zh-CN"/>
              </w:rPr>
              <w:t>特定疾病确诊</w:t>
            </w:r>
            <w:r>
              <w:rPr>
                <w:rFonts w:hint="eastAsia" w:ascii="宋体" w:hAnsi="宋体"/>
                <w:color w:val="000000"/>
              </w:rPr>
              <w:t>时本</w:t>
            </w:r>
            <w:r>
              <w:rPr>
                <w:rFonts w:hint="eastAsia" w:ascii="宋体" w:hAnsi="宋体"/>
                <w:color w:val="000000"/>
                <w:lang w:val="en-US" w:eastAsia="zh-CN"/>
              </w:rPr>
              <w:t>主险</w:t>
            </w:r>
            <w:r>
              <w:rPr>
                <w:rFonts w:hint="eastAsia" w:ascii="宋体" w:hAnsi="宋体"/>
                <w:color w:val="000000"/>
              </w:rPr>
              <w:t>合同的基本保险金额。</w:t>
            </w:r>
          </w:p>
        </w:tc>
      </w:tr>
      <w:tr w14:paraId="19647AA9">
        <w:tblPrEx>
          <w:tblCellMar>
            <w:top w:w="0" w:type="dxa"/>
            <w:left w:w="108" w:type="dxa"/>
            <w:bottom w:w="0" w:type="dxa"/>
            <w:right w:w="108" w:type="dxa"/>
          </w:tblCellMar>
        </w:tblPrEx>
        <w:trPr>
          <w:trHeight w:val="387" w:hRule="exact"/>
        </w:trPr>
        <w:tc>
          <w:tcPr>
            <w:tcW w:w="552" w:type="pct"/>
          </w:tcPr>
          <w:p w14:paraId="487466CF">
            <w:pPr>
              <w:jc w:val="both"/>
              <w:rPr>
                <w:rFonts w:hint="eastAsia" w:asciiTheme="minorHAnsi" w:hAnsiTheme="minorHAnsi" w:cstheme="minorHAnsi"/>
                <w:b/>
              </w:rPr>
            </w:pPr>
          </w:p>
        </w:tc>
        <w:tc>
          <w:tcPr>
            <w:tcW w:w="962" w:type="pct"/>
          </w:tcPr>
          <w:p w14:paraId="5FD4EC37">
            <w:pPr>
              <w:adjustRightInd w:val="0"/>
              <w:snapToGrid w:val="0"/>
              <w:rPr>
                <w:rFonts w:hint="eastAsia" w:ascii="华文新魏" w:hAnsi="宋体" w:eastAsia="华文新魏"/>
                <w:b/>
                <w:color w:val="000000" w:themeColor="text1"/>
                <w:sz w:val="24"/>
                <w14:textFill>
                  <w14:solidFill>
                    <w14:schemeClr w14:val="tx1"/>
                  </w14:solidFill>
                </w14:textFill>
              </w:rPr>
            </w:pPr>
          </w:p>
        </w:tc>
        <w:tc>
          <w:tcPr>
            <w:tcW w:w="3484" w:type="pct"/>
          </w:tcPr>
          <w:p w14:paraId="5C9FCDEC">
            <w:pPr>
              <w:rPr>
                <w:rFonts w:hint="eastAsia" w:ascii="宋体" w:hAnsi="宋体" w:cs="宋体"/>
                <w:b/>
                <w:shd w:val="pct10" w:color="auto" w:fill="FFFFFF"/>
                <w:lang w:val="en-US" w:eastAsia="zh-CN"/>
              </w:rPr>
            </w:pPr>
          </w:p>
        </w:tc>
      </w:tr>
      <w:tr w14:paraId="4BB16913">
        <w:tblPrEx>
          <w:tblCellMar>
            <w:top w:w="0" w:type="dxa"/>
            <w:left w:w="108" w:type="dxa"/>
            <w:bottom w:w="0" w:type="dxa"/>
            <w:right w:w="108" w:type="dxa"/>
          </w:tblCellMar>
        </w:tblPrEx>
        <w:trPr>
          <w:trHeight w:val="1893" w:hRule="exact"/>
        </w:trPr>
        <w:tc>
          <w:tcPr>
            <w:tcW w:w="552" w:type="pct"/>
          </w:tcPr>
          <w:p w14:paraId="2B70C6EA">
            <w:pPr>
              <w:jc w:val="center"/>
              <w:rPr>
                <w:rFonts w:asciiTheme="minorHAnsi" w:hAnsiTheme="minorHAnsi" w:cstheme="minorHAnsi"/>
                <w:b/>
              </w:rPr>
            </w:pPr>
            <w:r>
              <w:rPr>
                <w:rFonts w:hint="eastAsia" w:asciiTheme="minorHAnsi" w:hAnsiTheme="minorHAnsi" w:cstheme="minorHAnsi"/>
                <w:b/>
              </w:rPr>
              <w:t>2.2.</w:t>
            </w:r>
            <w:r>
              <w:rPr>
                <w:rFonts w:hint="eastAsia" w:asciiTheme="minorHAnsi" w:hAnsiTheme="minorHAnsi" w:cstheme="minorHAnsi"/>
                <w:b/>
                <w:lang w:val="en-US" w:eastAsia="zh-CN"/>
              </w:rPr>
              <w:t>3</w:t>
            </w:r>
          </w:p>
        </w:tc>
        <w:tc>
          <w:tcPr>
            <w:tcW w:w="962" w:type="pct"/>
          </w:tcPr>
          <w:p w14:paraId="208BD2B4">
            <w:pPr>
              <w:adjustRightInd w:val="0"/>
              <w:snapToGrid w:val="0"/>
              <w:rPr>
                <w:rFonts w:ascii="华文新魏" w:hAnsi="宋体" w:eastAsia="华文新魏"/>
                <w:b/>
                <w:color w:val="000000" w:themeColor="text1"/>
                <w:sz w:val="24"/>
                <w14:textFill>
                  <w14:solidFill>
                    <w14:schemeClr w14:val="tx1"/>
                  </w14:solidFill>
                </w14:textFill>
              </w:rPr>
            </w:pPr>
            <w:r>
              <w:rPr>
                <w:rFonts w:hint="eastAsia" w:ascii="华文新魏" w:hAnsi="宋体" w:eastAsia="华文新魏"/>
                <w:b/>
                <w:color w:val="000000" w:themeColor="text1"/>
                <w:sz w:val="24"/>
                <w14:textFill>
                  <w14:solidFill>
                    <w14:schemeClr w14:val="tx1"/>
                  </w14:solidFill>
                </w14:textFill>
              </w:rPr>
              <w:t>身故保险金</w:t>
            </w:r>
            <w:r>
              <w:rPr>
                <w:rFonts w:hint="eastAsia" w:ascii="华文新魏" w:hAnsi="宋体" w:eastAsia="华文新魏"/>
                <w:b/>
                <w:color w:val="000000" w:themeColor="text1"/>
                <w:sz w:val="24"/>
                <w:lang w:eastAsia="zh-CN"/>
                <w14:textFill>
                  <w14:solidFill>
                    <w14:schemeClr w14:val="tx1"/>
                  </w14:solidFill>
                </w14:textFill>
              </w:rPr>
              <w:t>（</w:t>
            </w:r>
            <w:r>
              <w:rPr>
                <w:rFonts w:hint="eastAsia" w:ascii="华文新魏" w:hAnsi="宋体" w:eastAsia="华文新魏"/>
                <w:b/>
                <w:color w:val="000000" w:themeColor="text1"/>
                <w:sz w:val="24"/>
                <w:lang w:val="en-US" w:eastAsia="zh-CN"/>
                <w14:textFill>
                  <w14:solidFill>
                    <w14:schemeClr w14:val="tx1"/>
                  </w14:solidFill>
                </w14:textFill>
              </w:rPr>
              <w:t>必选</w:t>
            </w:r>
            <w:r>
              <w:rPr>
                <w:rFonts w:hint="eastAsia" w:ascii="华文新魏" w:hAnsi="宋体" w:eastAsia="华文新魏"/>
                <w:b/>
                <w:color w:val="000000" w:themeColor="text1"/>
                <w:sz w:val="24"/>
                <w:lang w:eastAsia="zh-CN"/>
                <w14:textFill>
                  <w14:solidFill>
                    <w14:schemeClr w14:val="tx1"/>
                  </w14:solidFill>
                </w14:textFill>
              </w:rPr>
              <w:t>）</w:t>
            </w:r>
          </w:p>
        </w:tc>
        <w:tc>
          <w:tcPr>
            <w:tcW w:w="3484" w:type="pct"/>
          </w:tcPr>
          <w:p w14:paraId="5623C855">
            <w:pPr>
              <w:numPr>
                <w:ilvl w:val="-1"/>
                <w:numId w:val="0"/>
              </w:numPr>
              <w:spacing w:before="0" w:beforeLines="-2147483648" w:after="0" w:afterLines="-2147483648"/>
              <w:ind w:left="0" w:firstLine="0"/>
              <w:jc w:val="left"/>
              <w:rPr>
                <w:rFonts w:hint="eastAsia" w:ascii="宋体" w:hAnsi="宋体" w:eastAsia="宋体"/>
                <w:color w:val="000000"/>
                <w:lang w:eastAsia="zh-CN"/>
              </w:rPr>
            </w:pPr>
            <w:r>
              <w:rPr>
                <w:rFonts w:hint="eastAsia" w:ascii="宋体" w:hAnsi="宋体" w:cs="宋体"/>
              </w:rPr>
              <w:t>在本主险合同保险期间内</w:t>
            </w: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（合同复效的则自最后一次复效之日起）</w:t>
            </w:r>
            <w:r>
              <w:rPr>
                <w:rFonts w:hint="eastAsia" w:ascii="宋体" w:hAnsi="宋体" w:cs="宋体"/>
                <w:highlight w:val="none"/>
              </w:rPr>
              <w:t>，被保险人因遭受意外伤害事故或在等待期后因意外伤害以外的原因</w:t>
            </w:r>
            <w:r>
              <w:rPr>
                <w:rFonts w:hint="eastAsia" w:ascii="宋体" w:hAnsi="宋体" w:cs="宋体"/>
              </w:rPr>
              <w:t>导致身故的，</w:t>
            </w:r>
            <w:r>
              <w:rPr>
                <w:rFonts w:hint="eastAsia" w:ascii="宋体" w:hAnsi="宋体" w:cs="宋体"/>
                <w:shd w:val="clear" w:color="FFFFFF" w:fill="D9D9D9"/>
              </w:rPr>
              <w:t>我们</w:t>
            </w:r>
            <w:r>
              <w:rPr>
                <w:rFonts w:hint="eastAsia" w:ascii="宋体" w:hAnsi="宋体"/>
                <w:color w:val="000000"/>
                <w:shd w:val="clear" w:color="FFFFFF" w:fill="D9D9D9"/>
              </w:rPr>
              <w:t>按</w:t>
            </w:r>
            <w:r>
              <w:rPr>
                <w:rFonts w:hint="eastAsia" w:ascii="宋体" w:hAnsi="宋体"/>
                <w:color w:val="000000"/>
                <w:shd w:val="clear" w:color="FFFFFF" w:fill="D9D9D9"/>
                <w:lang w:val="en-US" w:eastAsia="zh-CN"/>
              </w:rPr>
              <w:t>下列两项金额的较大者</w:t>
            </w:r>
            <w:r>
              <w:rPr>
                <w:rFonts w:hint="eastAsia" w:ascii="宋体" w:hAnsi="宋体"/>
                <w:color w:val="000000"/>
                <w:shd w:val="clear" w:color="FFFFFF" w:fill="D9D9D9"/>
              </w:rPr>
              <w:t>给付身故保险金，</w:t>
            </w:r>
            <w:r>
              <w:rPr>
                <w:rFonts w:hint="eastAsia" w:ascii="宋体" w:hAnsi="宋体"/>
                <w:b/>
                <w:bCs/>
                <w:shd w:val="clear" w:color="FFFFFF" w:fill="D9D9D9"/>
              </w:rPr>
              <w:t>同时本</w:t>
            </w:r>
            <w:r>
              <w:rPr>
                <w:rFonts w:hint="eastAsia" w:ascii="宋体" w:hAnsi="宋体"/>
                <w:b/>
                <w:bCs/>
                <w:shd w:val="clear" w:color="FFFFFF" w:fill="D9D9D9"/>
                <w:lang w:val="en-US" w:eastAsia="zh-CN"/>
              </w:rPr>
              <w:t>主险</w:t>
            </w:r>
            <w:r>
              <w:rPr>
                <w:rFonts w:hint="eastAsia" w:ascii="宋体" w:hAnsi="宋体"/>
                <w:b/>
                <w:bCs/>
                <w:shd w:val="clear" w:color="FFFFFF" w:fill="D9D9D9"/>
              </w:rPr>
              <w:t>合同终止</w:t>
            </w:r>
            <w:r>
              <w:rPr>
                <w:rFonts w:hint="eastAsia" w:ascii="宋体" w:hAnsi="宋体"/>
                <w:b/>
                <w:bCs/>
                <w:shd w:val="clear" w:color="FFFFFF" w:fill="D9D9D9"/>
                <w:lang w:eastAsia="zh-CN"/>
              </w:rPr>
              <w:t>：</w:t>
            </w:r>
          </w:p>
          <w:p w14:paraId="14820E0B">
            <w:pPr>
              <w:numPr>
                <w:ilvl w:val="0"/>
                <w:numId w:val="7"/>
              </w:numPr>
              <w:spacing w:before="0" w:beforeLines="-2147483648" w:after="0" w:afterLines="-2147483648"/>
              <w:ind w:left="425" w:hanging="425"/>
              <w:jc w:val="left"/>
              <w:rPr>
                <w:rFonts w:hint="eastAsia" w:ascii="宋体" w:hAnsi="宋体"/>
                <w:szCs w:val="21"/>
              </w:rPr>
            </w:pPr>
            <w:r>
              <w:rPr>
                <w:rFonts w:hint="eastAsia" w:ascii="宋体" w:hAnsi="宋体"/>
                <w:szCs w:val="21"/>
              </w:rPr>
              <w:t>身故时本</w:t>
            </w:r>
            <w:r>
              <w:rPr>
                <w:rFonts w:hint="eastAsia" w:ascii="宋体" w:hAnsi="宋体"/>
                <w:szCs w:val="21"/>
                <w:lang w:val="en-US" w:eastAsia="zh-CN"/>
              </w:rPr>
              <w:t>主险</w:t>
            </w:r>
            <w:r>
              <w:rPr>
                <w:rFonts w:hint="eastAsia" w:ascii="宋体" w:hAnsi="宋体"/>
                <w:szCs w:val="21"/>
              </w:rPr>
              <w:t>合同</w:t>
            </w:r>
            <w:r>
              <w:rPr>
                <w:rFonts w:hint="eastAsia" w:ascii="宋体" w:hAnsi="宋体"/>
                <w:szCs w:val="21"/>
                <w:shd w:val="clear" w:color="auto" w:fill="auto"/>
                <w:lang w:val="en-US" w:eastAsia="zh-CN"/>
              </w:rPr>
              <w:t>的已</w:t>
            </w:r>
            <w:r>
              <w:rPr>
                <w:rFonts w:hint="eastAsia" w:ascii="宋体" w:hAnsi="宋体"/>
                <w:szCs w:val="21"/>
                <w:shd w:val="clear" w:color="auto" w:fill="auto"/>
              </w:rPr>
              <w:t>交保险费</w:t>
            </w:r>
            <w:r>
              <w:rPr>
                <w:rFonts w:hint="eastAsia" w:ascii="宋体" w:hAnsi="宋体"/>
                <w:szCs w:val="21"/>
              </w:rPr>
              <w:t xml:space="preserve">； </w:t>
            </w:r>
          </w:p>
          <w:p w14:paraId="4750EFF6">
            <w:pPr>
              <w:numPr>
                <w:ilvl w:val="0"/>
                <w:numId w:val="7"/>
              </w:numPr>
              <w:ind w:left="425" w:hanging="425"/>
              <w:jc w:val="left"/>
              <w:rPr>
                <w:rFonts w:hint="default" w:ascii="宋体" w:hAnsi="宋体" w:eastAsia="宋体" w:cs="宋体"/>
                <w:b/>
                <w:shd w:val="pct10" w:color="auto" w:fill="FFFFFF"/>
                <w:lang w:val="en-US" w:eastAsia="zh-CN"/>
              </w:rPr>
            </w:pPr>
            <w:r>
              <w:rPr>
                <w:rFonts w:hint="eastAsia" w:ascii="宋体" w:hAnsi="宋体"/>
                <w:szCs w:val="21"/>
              </w:rPr>
              <w:t>身故时本</w:t>
            </w:r>
            <w:r>
              <w:rPr>
                <w:rFonts w:hint="eastAsia" w:ascii="宋体" w:hAnsi="宋体"/>
                <w:szCs w:val="21"/>
                <w:lang w:val="en-US" w:eastAsia="zh-CN"/>
              </w:rPr>
              <w:t>主险</w:t>
            </w:r>
            <w:r>
              <w:rPr>
                <w:rFonts w:hint="eastAsia" w:ascii="宋体" w:hAnsi="宋体"/>
                <w:szCs w:val="21"/>
              </w:rPr>
              <w:t>合同的现金价值</w:t>
            </w:r>
            <w:r>
              <w:rPr>
                <w:rFonts w:hint="eastAsia" w:ascii="宋体" w:hAnsi="宋体"/>
                <w:szCs w:val="21"/>
                <w:lang w:eastAsia="zh-CN"/>
              </w:rPr>
              <w:t>。</w:t>
            </w:r>
          </w:p>
        </w:tc>
      </w:tr>
      <w:tr w14:paraId="3D09DD62">
        <w:tblPrEx>
          <w:tblCellMar>
            <w:top w:w="0" w:type="dxa"/>
            <w:left w:w="108" w:type="dxa"/>
            <w:bottom w:w="0" w:type="dxa"/>
            <w:right w:w="108" w:type="dxa"/>
          </w:tblCellMar>
        </w:tblPrEx>
        <w:trPr>
          <w:trHeight w:val="90" w:hRule="atLeast"/>
        </w:trPr>
        <w:tc>
          <w:tcPr>
            <w:tcW w:w="552" w:type="pct"/>
          </w:tcPr>
          <w:p w14:paraId="46F80BFA">
            <w:pPr>
              <w:jc w:val="center"/>
              <w:rPr>
                <w:rFonts w:asciiTheme="minorHAnsi" w:hAnsiTheme="minorHAnsi" w:cstheme="minorHAnsi"/>
                <w:b/>
              </w:rPr>
            </w:pPr>
          </w:p>
        </w:tc>
        <w:tc>
          <w:tcPr>
            <w:tcW w:w="962" w:type="pct"/>
          </w:tcPr>
          <w:p w14:paraId="1D9905C6">
            <w:pPr>
              <w:adjustRightInd w:val="0"/>
              <w:snapToGrid w:val="0"/>
              <w:jc w:val="left"/>
              <w:rPr>
                <w:rFonts w:ascii="华文新魏" w:hAnsi="宋体" w:eastAsia="华文新魏"/>
                <w:b/>
                <w:color w:val="000000" w:themeColor="text1"/>
                <w:sz w:val="24"/>
                <w14:textFill>
                  <w14:solidFill>
                    <w14:schemeClr w14:val="tx1"/>
                  </w14:solidFill>
                </w14:textFill>
              </w:rPr>
            </w:pPr>
          </w:p>
        </w:tc>
        <w:tc>
          <w:tcPr>
            <w:tcW w:w="3484" w:type="pct"/>
          </w:tcPr>
          <w:p w14:paraId="66E1D7A1">
            <w:pPr>
              <w:rPr>
                <w:rFonts w:hint="eastAsia" w:ascii="宋体" w:hAnsi="宋体" w:cs="宋体"/>
                <w:shd w:val="clear" w:color="FFFFFF" w:fill="D9D9D9"/>
                <w:lang w:val="en-US" w:eastAsia="zh-CN"/>
              </w:rPr>
            </w:pPr>
            <w:r>
              <w:rPr>
                <w:rFonts w:hint="eastAsia" w:ascii="宋体" w:hAnsi="宋体" w:cs="宋体"/>
                <w:shd w:val="clear" w:color="FFFFFF" w:fill="D9D9D9"/>
                <w:lang w:val="en-US" w:eastAsia="zh-CN"/>
              </w:rPr>
              <w:t>上述特定疾病保险金和身故保险金，我们仅给付其中一项，并以一次给付为限。</w:t>
            </w:r>
          </w:p>
          <w:p w14:paraId="4168FBDB">
            <w:pPr>
              <w:rPr>
                <w:rFonts w:hint="default" w:ascii="宋体" w:hAnsi="宋体" w:cs="宋体"/>
                <w:lang w:val="en-US" w:eastAsia="zh-CN"/>
              </w:rPr>
            </w:pPr>
            <w:r>
              <w:rPr>
                <w:rFonts w:hint="eastAsia" w:ascii="宋体" w:hAnsi="宋体" w:cs="宋体"/>
                <w:b/>
                <w:shd w:val="clear" w:color="FFFFFF" w:fill="D9D9D9"/>
              </w:rPr>
              <w:t>为未成年人投保的，在被保险人成年之前，因被保险人身故给付的保险金总和不得超过国务院保险监督管理机构规定的限额，身故给付的保险金额总和约定也不得超过前述限额。</w:t>
            </w:r>
          </w:p>
        </w:tc>
      </w:tr>
      <w:tr w14:paraId="0005434D">
        <w:tblPrEx>
          <w:tblCellMar>
            <w:top w:w="0" w:type="dxa"/>
            <w:left w:w="108" w:type="dxa"/>
            <w:bottom w:w="0" w:type="dxa"/>
            <w:right w:w="108" w:type="dxa"/>
          </w:tblCellMar>
        </w:tblPrEx>
        <w:trPr>
          <w:trHeight w:val="267" w:hRule="atLeast"/>
        </w:trPr>
        <w:tc>
          <w:tcPr>
            <w:tcW w:w="552" w:type="pct"/>
          </w:tcPr>
          <w:p w14:paraId="027EA5FC">
            <w:pPr>
              <w:jc w:val="center"/>
              <w:rPr>
                <w:rFonts w:asciiTheme="minorHAnsi" w:hAnsiTheme="minorHAnsi" w:cstheme="minorHAnsi"/>
                <w:b/>
              </w:rPr>
            </w:pPr>
          </w:p>
        </w:tc>
        <w:tc>
          <w:tcPr>
            <w:tcW w:w="962" w:type="pct"/>
          </w:tcPr>
          <w:p w14:paraId="4FB25717">
            <w:pPr>
              <w:adjustRightInd w:val="0"/>
              <w:snapToGrid w:val="0"/>
              <w:rPr>
                <w:rFonts w:ascii="华文新魏" w:hAnsi="宋体" w:eastAsia="华文新魏"/>
                <w:b/>
                <w:color w:val="000000" w:themeColor="text1"/>
                <w:sz w:val="24"/>
                <w14:textFill>
                  <w14:solidFill>
                    <w14:schemeClr w14:val="tx1"/>
                  </w14:solidFill>
                </w14:textFill>
              </w:rPr>
            </w:pPr>
          </w:p>
        </w:tc>
        <w:tc>
          <w:tcPr>
            <w:tcW w:w="3484" w:type="pct"/>
          </w:tcPr>
          <w:p w14:paraId="07C3DD16">
            <w:pPr>
              <w:rPr>
                <w:rFonts w:ascii="宋体" w:cs="宋体"/>
                <w:kern w:val="0"/>
                <w:szCs w:val="21"/>
              </w:rPr>
            </w:pPr>
          </w:p>
        </w:tc>
      </w:tr>
      <w:tr w14:paraId="2A5AA967">
        <w:tblPrEx>
          <w:tblCellMar>
            <w:top w:w="0" w:type="dxa"/>
            <w:left w:w="108" w:type="dxa"/>
            <w:bottom w:w="0" w:type="dxa"/>
            <w:right w:w="108" w:type="dxa"/>
          </w:tblCellMar>
        </w:tblPrEx>
        <w:trPr>
          <w:trHeight w:val="739" w:hRule="atLeast"/>
        </w:trPr>
        <w:tc>
          <w:tcPr>
            <w:tcW w:w="552" w:type="pct"/>
          </w:tcPr>
          <w:p w14:paraId="64F39E30">
            <w:pPr>
              <w:jc w:val="center"/>
              <w:rPr>
                <w:rFonts w:asciiTheme="minorHAnsi" w:hAnsiTheme="minorHAnsi" w:cstheme="minorHAnsi"/>
                <w:b/>
              </w:rPr>
            </w:pPr>
            <w:r>
              <w:rPr>
                <w:rFonts w:hint="eastAsia" w:asciiTheme="minorHAnsi" w:hAnsiTheme="minorHAnsi" w:cstheme="minorHAnsi"/>
                <w:b/>
              </w:rPr>
              <w:t>2.2.4</w:t>
            </w:r>
          </w:p>
        </w:tc>
        <w:tc>
          <w:tcPr>
            <w:tcW w:w="962" w:type="pct"/>
          </w:tcPr>
          <w:p w14:paraId="710880A3">
            <w:pPr>
              <w:adjustRightInd w:val="0"/>
              <w:snapToGrid w:val="0"/>
              <w:rPr>
                <w:rFonts w:ascii="华文新魏" w:hAnsi="宋体" w:eastAsia="华文新魏"/>
                <w:b/>
                <w:color w:val="000000" w:themeColor="text1"/>
                <w:sz w:val="24"/>
                <w14:textFill>
                  <w14:solidFill>
                    <w14:schemeClr w14:val="tx1"/>
                  </w14:solidFill>
                </w14:textFill>
              </w:rPr>
            </w:pPr>
            <w:r>
              <w:rPr>
                <w:rFonts w:hint="eastAsia" w:ascii="华文新魏" w:hAnsi="宋体" w:eastAsia="华文新魏"/>
                <w:b/>
                <w:color w:val="000000" w:themeColor="text1"/>
                <w:sz w:val="24"/>
                <w:lang w:val="en-US" w:eastAsia="zh-CN"/>
                <w14:textFill>
                  <w14:solidFill>
                    <w14:schemeClr w14:val="tx1"/>
                  </w14:solidFill>
                </w14:textFill>
              </w:rPr>
              <w:t>一般医疗</w:t>
            </w:r>
            <w:r>
              <w:rPr>
                <w:rFonts w:hint="eastAsia" w:ascii="华文新魏" w:hAnsi="宋体" w:eastAsia="华文新魏"/>
                <w:b/>
                <w:color w:val="000000" w:themeColor="text1"/>
                <w:sz w:val="24"/>
                <w14:textFill>
                  <w14:solidFill>
                    <w14:schemeClr w14:val="tx1"/>
                  </w14:solidFill>
                </w14:textFill>
              </w:rPr>
              <w:t>保险金</w:t>
            </w:r>
            <w:r>
              <w:rPr>
                <w:rFonts w:hint="eastAsia" w:ascii="华文新魏" w:hAnsi="宋体" w:eastAsia="华文新魏"/>
                <w:b/>
                <w:color w:val="000000" w:themeColor="text1"/>
                <w:sz w:val="24"/>
                <w:lang w:eastAsia="zh-CN"/>
                <w14:textFill>
                  <w14:solidFill>
                    <w14:schemeClr w14:val="tx1"/>
                  </w14:solidFill>
                </w14:textFill>
              </w:rPr>
              <w:t>（</w:t>
            </w:r>
            <w:r>
              <w:rPr>
                <w:rFonts w:hint="eastAsia" w:ascii="华文新魏" w:hAnsi="宋体" w:eastAsia="华文新魏"/>
                <w:b/>
                <w:color w:val="000000" w:themeColor="text1"/>
                <w:sz w:val="24"/>
                <w:lang w:val="en-US" w:eastAsia="zh-CN"/>
                <w14:textFill>
                  <w14:solidFill>
                    <w14:schemeClr w14:val="tx1"/>
                  </w14:solidFill>
                </w14:textFill>
              </w:rPr>
              <w:t>可选</w:t>
            </w:r>
            <w:r>
              <w:rPr>
                <w:rFonts w:hint="eastAsia" w:ascii="华文新魏" w:hAnsi="宋体" w:eastAsia="华文新魏"/>
                <w:b/>
                <w:color w:val="000000" w:themeColor="text1"/>
                <w:sz w:val="24"/>
                <w:lang w:eastAsia="zh-CN"/>
                <w14:textFill>
                  <w14:solidFill>
                    <w14:schemeClr w14:val="tx1"/>
                  </w14:solidFill>
                </w14:textFill>
              </w:rPr>
              <w:t>）</w:t>
            </w:r>
          </w:p>
        </w:tc>
        <w:tc>
          <w:tcPr>
            <w:tcW w:w="3484" w:type="pct"/>
            <w:shd w:val="clear" w:color="auto" w:fill="auto"/>
            <w:vAlign w:val="top"/>
          </w:tcPr>
          <w:p w14:paraId="497EA142">
            <w:pPr>
              <w:pStyle w:val="2"/>
              <w:rPr>
                <w:rFonts w:hint="eastAsia"/>
                <w:lang w:eastAsia="zh-CN"/>
              </w:rPr>
            </w:pPr>
            <w:r>
              <w:rPr>
                <w:rFonts w:hint="eastAsia" w:ascii="宋体" w:hAnsi="宋体" w:cs="宋体"/>
                <w:lang w:val="en-US" w:eastAsia="zh-CN"/>
              </w:rPr>
              <w:t>在</w:t>
            </w:r>
            <w:r>
              <w:rPr>
                <w:rFonts w:hint="eastAsia" w:ascii="宋体" w:hAnsi="宋体" w:cs="宋体"/>
              </w:rPr>
              <w:t>本主险合同保险期间内，</w:t>
            </w:r>
            <w:r>
              <w:rPr>
                <w:rFonts w:hint="eastAsia" w:ascii="宋体" w:hAnsi="宋体" w:eastAsia="宋体" w:cs="宋体"/>
                <w:sz w:val="21"/>
                <w:szCs w:val="24"/>
              </w:rPr>
              <w:t>被保险人</w:t>
            </w:r>
            <w:r>
              <w:rPr>
                <w:rFonts w:hint="eastAsia" w:ascii="宋体" w:hAnsi="宋体" w:cs="宋体"/>
                <w:sz w:val="21"/>
                <w:szCs w:val="24"/>
                <w:lang w:val="en-US" w:eastAsia="zh-CN"/>
              </w:rPr>
              <w:t>因下述情形发生的医疗费用、</w:t>
            </w:r>
            <w:r>
              <w:rPr>
                <w:rFonts w:hint="eastAsia" w:ascii="黑体" w:hAnsi="黑体" w:eastAsia="黑体" w:cs="Times New Roman"/>
                <w:b/>
                <w:color w:val="000000" w:themeColor="text1"/>
                <w:sz w:val="21"/>
                <w:szCs w:val="22"/>
                <w:shd w:val="clear" w:color="auto" w:fill="auto"/>
                <w:lang w:val="en-US"/>
                <w14:textFill>
                  <w14:solidFill>
                    <w14:schemeClr w14:val="tx1"/>
                  </w14:solidFill>
                </w14:textFill>
              </w:rPr>
              <w:t>健康检查费用</w:t>
            </w:r>
            <w:r>
              <w:rPr>
                <w:rStyle w:val="23"/>
                <w:rFonts w:hint="default" w:ascii="黑体" w:hAnsi="黑体" w:eastAsia="黑体" w:cs="Times New Roman"/>
                <w:b/>
                <w:color w:val="000000" w:themeColor="text1"/>
                <w:sz w:val="21"/>
                <w:szCs w:val="22"/>
                <w:shd w:val="clear" w:color="auto" w:fill="auto"/>
                <w:lang w:val="en-US"/>
                <w14:textFill>
                  <w14:solidFill>
                    <w14:schemeClr w14:val="tx1"/>
                  </w14:solidFill>
                </w14:textFill>
              </w:rPr>
              <w:footnoteReference w:id="8"/>
            </w:r>
            <w:r>
              <w:rPr>
                <w:rFonts w:hint="eastAsia" w:ascii="宋体" w:hAnsi="宋体" w:cs="宋体"/>
                <w:sz w:val="21"/>
                <w:szCs w:val="24"/>
                <w:lang w:val="en-US" w:eastAsia="zh-CN"/>
              </w:rPr>
              <w:t>和</w:t>
            </w:r>
            <w:r>
              <w:rPr>
                <w:rFonts w:hint="eastAsia" w:ascii="黑体" w:hAnsi="黑体" w:eastAsia="黑体" w:cs="黑体"/>
                <w:b/>
                <w:bCs/>
                <w:sz w:val="21"/>
                <w:szCs w:val="24"/>
                <w:highlight w:val="none"/>
                <w:lang w:val="en-US" w:eastAsia="zh-CN"/>
              </w:rPr>
              <w:t>健康管理服务</w:t>
            </w:r>
            <w:r>
              <w:rPr>
                <w:rStyle w:val="23"/>
                <w:rFonts w:hint="default" w:ascii="黑体" w:hAnsi="黑体" w:eastAsia="黑体" w:cs="Times New Roman"/>
                <w:b/>
                <w:color w:val="000000" w:themeColor="text1"/>
                <w:sz w:val="21"/>
                <w:szCs w:val="22"/>
                <w:highlight w:val="none"/>
                <w:shd w:val="clear" w:color="auto" w:fill="auto"/>
                <w:lang w:val="en-US"/>
                <w14:textFill>
                  <w14:solidFill>
                    <w14:schemeClr w14:val="tx1"/>
                  </w14:solidFill>
                </w14:textFill>
              </w:rPr>
              <w:footnoteReference w:id="9"/>
            </w:r>
            <w:r>
              <w:rPr>
                <w:rFonts w:hint="eastAsia" w:ascii="宋体" w:hAnsi="宋体" w:cs="宋体"/>
                <w:sz w:val="21"/>
                <w:szCs w:val="24"/>
                <w:lang w:val="en-US" w:eastAsia="zh-CN"/>
              </w:rPr>
              <w:t>费，</w:t>
            </w:r>
            <w:r>
              <w:rPr>
                <w:rFonts w:hint="eastAsia" w:ascii="宋体" w:hAnsi="宋体" w:cs="宋体"/>
                <w:highlight w:val="none"/>
                <w:lang w:val="en-US" w:eastAsia="zh-CN"/>
              </w:rPr>
              <w:t>我们按照100%的赔付比例在赔付限额内赔付</w:t>
            </w:r>
            <w:r>
              <w:rPr>
                <w:rFonts w:hint="eastAsia" w:ascii="宋体" w:hAnsi="宋体" w:eastAsia="宋体" w:cs="宋体"/>
                <w:sz w:val="21"/>
                <w:szCs w:val="24"/>
                <w:highlight w:val="none"/>
              </w:rPr>
              <w:t>一般医疗保险金</w:t>
            </w:r>
            <w:r>
              <w:rPr>
                <w:rFonts w:hint="eastAsia" w:ascii="宋体" w:hAnsi="宋体" w:cs="宋体"/>
                <w:highlight w:val="none"/>
                <w:lang w:val="en-US" w:eastAsia="zh-CN"/>
              </w:rPr>
              <w:t>：</w:t>
            </w:r>
          </w:p>
          <w:p w14:paraId="210AA32F">
            <w:pPr>
              <w:pStyle w:val="2"/>
              <w:numPr>
                <w:ilvl w:val="-1"/>
                <w:numId w:val="0"/>
              </w:numPr>
              <w:ind w:left="0" w:firstLine="0"/>
              <w:rPr>
                <w:rFonts w:hint="eastAsia"/>
                <w:lang w:eastAsia="zh-CN"/>
              </w:rPr>
            </w:pPr>
            <w:r>
              <w:rPr>
                <w:rFonts w:hint="eastAsia" w:ascii="宋体" w:hAnsi="宋体" w:cs="宋体"/>
                <w:sz w:val="21"/>
                <w:szCs w:val="24"/>
                <w:lang w:val="en-US" w:eastAsia="zh-CN"/>
              </w:rPr>
              <w:t>（1）被保险人</w:t>
            </w:r>
            <w:r>
              <w:rPr>
                <w:rFonts w:hint="eastAsia" w:ascii="宋体" w:hAnsi="宋体" w:eastAsia="宋体" w:cs="宋体"/>
                <w:sz w:val="21"/>
                <w:szCs w:val="24"/>
              </w:rPr>
              <w:t>因遭受意外</w:t>
            </w:r>
            <w:r>
              <w:rPr>
                <w:rFonts w:hint="eastAsia" w:ascii="宋体" w:hAnsi="宋体" w:cs="宋体"/>
                <w:sz w:val="21"/>
                <w:szCs w:val="24"/>
                <w:lang w:val="en-US" w:eastAsia="zh-CN"/>
              </w:rPr>
              <w:t>伤害事故</w:t>
            </w:r>
            <w:r>
              <w:rPr>
                <w:rFonts w:hint="eastAsia" w:ascii="宋体" w:hAnsi="宋体" w:cs="宋体"/>
              </w:rPr>
              <w:t>或</w:t>
            </w:r>
            <w:r>
              <w:rPr>
                <w:rFonts w:hint="eastAsia" w:ascii="宋体" w:hAnsi="宋体" w:eastAsia="宋体" w:cs="宋体"/>
                <w:sz w:val="21"/>
                <w:szCs w:val="24"/>
              </w:rPr>
              <w:t>罹患疾病</w:t>
            </w:r>
            <w:r>
              <w:rPr>
                <w:rFonts w:hint="eastAsia" w:ascii="宋体" w:hAnsi="宋体" w:cs="宋体"/>
                <w:sz w:val="21"/>
                <w:szCs w:val="24"/>
                <w:lang w:eastAsia="zh-CN"/>
              </w:rPr>
              <w:t>，</w:t>
            </w:r>
            <w:r>
              <w:rPr>
                <w:rFonts w:hint="eastAsia" w:ascii="宋体" w:hAnsi="宋体" w:eastAsia="宋体" w:cs="宋体"/>
                <w:sz w:val="21"/>
                <w:szCs w:val="24"/>
              </w:rPr>
              <w:t>在</w:t>
            </w:r>
            <w:r>
              <w:rPr>
                <w:rFonts w:hint="eastAsia" w:ascii="宋体" w:hAnsi="宋体" w:cs="宋体"/>
                <w:sz w:val="21"/>
                <w:szCs w:val="24"/>
                <w:lang w:val="en-US" w:eastAsia="zh-CN"/>
              </w:rPr>
              <w:t>本主险合同</w:t>
            </w:r>
            <w:r>
              <w:rPr>
                <w:rFonts w:hint="eastAsia" w:ascii="宋体" w:hAnsi="宋体" w:cs="宋体"/>
                <w:b/>
                <w:bCs/>
                <w:sz w:val="21"/>
                <w:szCs w:val="24"/>
                <w:lang w:val="en-US" w:eastAsia="zh-CN"/>
              </w:rPr>
              <w:t>指定</w:t>
            </w:r>
            <w:r>
              <w:rPr>
                <w:rFonts w:hint="eastAsia" w:ascii="宋体" w:hAnsi="宋体" w:eastAsia="宋体" w:cs="宋体"/>
                <w:b/>
                <w:bCs/>
                <w:sz w:val="21"/>
                <w:szCs w:val="24"/>
                <w:lang w:val="en-US" w:eastAsia="zh-CN"/>
              </w:rPr>
              <w:t>医疗机构</w:t>
            </w:r>
            <w:r>
              <w:rPr>
                <w:rStyle w:val="23"/>
                <w:rFonts w:ascii="黑体" w:hAnsi="黑体" w:eastAsia="黑体"/>
                <w:b/>
                <w:shd w:val="clear" w:color="auto" w:fill="auto"/>
              </w:rPr>
              <w:footnoteReference w:id="10"/>
            </w:r>
            <w:r>
              <w:rPr>
                <w:rFonts w:hint="eastAsia" w:ascii="宋体" w:hAnsi="宋体" w:eastAsia="宋体" w:cs="宋体"/>
                <w:sz w:val="21"/>
                <w:szCs w:val="24"/>
              </w:rPr>
              <w:t>发生</w:t>
            </w:r>
            <w:r>
              <w:rPr>
                <w:rFonts w:hint="eastAsia" w:ascii="宋体" w:hAnsi="宋体" w:cs="宋体"/>
                <w:sz w:val="21"/>
                <w:szCs w:val="24"/>
                <w:lang w:val="en-US" w:eastAsia="zh-CN"/>
              </w:rPr>
              <w:t>的</w:t>
            </w:r>
            <w:r>
              <w:rPr>
                <w:rFonts w:hint="eastAsia" w:ascii="黑体" w:hAnsi="黑体" w:eastAsia="黑体"/>
                <w:b/>
                <w:color w:val="000000" w:themeColor="text1"/>
                <w14:textFill>
                  <w14:solidFill>
                    <w14:schemeClr w14:val="tx1"/>
                  </w14:solidFill>
                </w14:textFill>
              </w:rPr>
              <w:t>合理且必要</w:t>
            </w:r>
            <w:r>
              <w:rPr>
                <w:rStyle w:val="23"/>
                <w:rFonts w:ascii="黑体" w:hAnsi="黑体" w:eastAsia="黑体"/>
                <w:b/>
                <w:color w:val="000000" w:themeColor="text1"/>
                <w14:textFill>
                  <w14:solidFill>
                    <w14:schemeClr w14:val="tx1"/>
                  </w14:solidFill>
                </w14:textFill>
              </w:rPr>
              <w:footnoteReference w:id="11"/>
            </w:r>
            <w:r>
              <w:rPr>
                <w:rFonts w:hint="eastAsia" w:ascii="宋体" w:hAnsi="宋体" w:eastAsia="宋体" w:cs="宋体"/>
                <w:sz w:val="21"/>
                <w:szCs w:val="24"/>
              </w:rPr>
              <w:t>的</w:t>
            </w:r>
            <w:r>
              <w:rPr>
                <w:rFonts w:hint="eastAsia" w:ascii="黑体" w:hAnsi="黑体" w:eastAsia="黑体" w:cs="黑体"/>
                <w:b/>
                <w:bCs/>
                <w:sz w:val="21"/>
                <w:szCs w:val="24"/>
                <w:lang w:val="en-US" w:eastAsia="zh-CN"/>
              </w:rPr>
              <w:t>门诊急诊及住院</w:t>
            </w:r>
            <w:r>
              <w:rPr>
                <w:rFonts w:hint="eastAsia" w:ascii="黑体" w:hAnsi="黑体" w:eastAsia="黑体" w:cs="黑体"/>
                <w:b/>
                <w:bCs/>
                <w:sz w:val="21"/>
                <w:szCs w:val="24"/>
              </w:rPr>
              <w:t>医疗费用</w:t>
            </w:r>
            <w:r>
              <w:rPr>
                <w:rStyle w:val="23"/>
                <w:rFonts w:hint="default" w:ascii="黑体" w:hAnsi="黑体" w:eastAsia="黑体" w:cs="Times New Roman"/>
                <w:b/>
                <w:color w:val="000000" w:themeColor="text1"/>
                <w:sz w:val="21"/>
                <w:szCs w:val="22"/>
                <w:highlight w:val="none"/>
                <w:shd w:val="clear" w:color="auto" w:fill="auto"/>
                <w:lang w:val="en-US"/>
                <w14:textFill>
                  <w14:solidFill>
                    <w14:schemeClr w14:val="tx1"/>
                  </w14:solidFill>
                </w14:textFill>
              </w:rPr>
              <w:footnoteReference w:id="12"/>
            </w:r>
            <w:r>
              <w:rPr>
                <w:rFonts w:hint="eastAsia"/>
                <w:lang w:eastAsia="zh-CN"/>
              </w:rPr>
              <w:t>；</w:t>
            </w:r>
          </w:p>
          <w:p w14:paraId="1740C83B">
            <w:pPr>
              <w:pStyle w:val="2"/>
              <w:numPr>
                <w:ilvl w:val="-1"/>
                <w:numId w:val="0"/>
              </w:numPr>
              <w:ind w:left="0" w:firstLine="0"/>
              <w:rPr>
                <w:rFonts w:hint="eastAsia"/>
                <w:lang w:eastAsia="zh-CN"/>
              </w:rPr>
            </w:pPr>
            <w:r>
              <w:rPr>
                <w:rFonts w:hint="eastAsia" w:ascii="宋体" w:hAnsi="宋体" w:cs="宋体"/>
                <w:sz w:val="21"/>
                <w:szCs w:val="24"/>
                <w:lang w:val="en-US" w:eastAsia="zh-CN"/>
              </w:rPr>
              <w:t>（2）被保险人</w:t>
            </w:r>
            <w:r>
              <w:rPr>
                <w:rFonts w:hint="eastAsia" w:ascii="宋体" w:hAnsi="宋体" w:eastAsia="宋体" w:cs="宋体"/>
                <w:sz w:val="21"/>
                <w:szCs w:val="24"/>
              </w:rPr>
              <w:t>因</w:t>
            </w:r>
            <w:r>
              <w:rPr>
                <w:rFonts w:hint="eastAsia" w:ascii="宋体" w:hAnsi="宋体" w:cs="宋体"/>
                <w:sz w:val="21"/>
                <w:szCs w:val="24"/>
                <w:lang w:val="en-US" w:eastAsia="zh-CN"/>
              </w:rPr>
              <w:t>遭受</w:t>
            </w:r>
            <w:r>
              <w:rPr>
                <w:rFonts w:hint="eastAsia" w:ascii="宋体" w:hAnsi="宋体" w:eastAsia="宋体" w:cs="宋体"/>
                <w:sz w:val="21"/>
                <w:szCs w:val="24"/>
              </w:rPr>
              <w:t>意外</w:t>
            </w:r>
            <w:r>
              <w:rPr>
                <w:rFonts w:hint="eastAsia" w:ascii="宋体" w:hAnsi="宋体" w:cs="宋体"/>
                <w:sz w:val="21"/>
                <w:szCs w:val="24"/>
                <w:lang w:val="en-US" w:eastAsia="zh-CN"/>
              </w:rPr>
              <w:t>伤害事故</w:t>
            </w:r>
            <w:r>
              <w:rPr>
                <w:rFonts w:hint="eastAsia" w:ascii="宋体" w:hAnsi="宋体" w:cs="宋体"/>
              </w:rPr>
              <w:t>或</w:t>
            </w:r>
            <w:r>
              <w:rPr>
                <w:rFonts w:hint="eastAsia" w:ascii="宋体" w:hAnsi="宋体" w:eastAsia="宋体" w:cs="宋体"/>
                <w:sz w:val="21"/>
                <w:szCs w:val="24"/>
              </w:rPr>
              <w:t>罹患疾病</w:t>
            </w:r>
            <w:r>
              <w:rPr>
                <w:rFonts w:hint="eastAsia" w:ascii="宋体" w:hAnsi="宋体" w:cs="宋体"/>
                <w:sz w:val="21"/>
                <w:szCs w:val="24"/>
                <w:lang w:eastAsia="zh-CN"/>
              </w:rPr>
              <w:t>，</w:t>
            </w:r>
            <w:r>
              <w:rPr>
                <w:rFonts w:hint="eastAsia" w:ascii="宋体" w:hAnsi="宋体" w:eastAsia="宋体" w:cs="宋体"/>
                <w:sz w:val="21"/>
                <w:szCs w:val="24"/>
              </w:rPr>
              <w:t>经医生开具处方在</w:t>
            </w:r>
            <w:r>
              <w:rPr>
                <w:rFonts w:hint="eastAsia" w:ascii="黑体" w:hAnsi="黑体" w:eastAsia="黑体" w:cs="Times New Roman"/>
                <w:b/>
                <w:color w:val="000000" w:themeColor="text1"/>
                <w:sz w:val="21"/>
                <w:szCs w:val="22"/>
                <w:shd w:val="clear" w:color="auto" w:fill="auto"/>
                <w:lang w:val="en-US"/>
                <w14:textFill>
                  <w14:solidFill>
                    <w14:schemeClr w14:val="tx1"/>
                  </w14:solidFill>
                </w14:textFill>
              </w:rPr>
              <w:t>药店</w:t>
            </w:r>
            <w:r>
              <w:rPr>
                <w:rStyle w:val="23"/>
                <w:rFonts w:hint="default" w:ascii="黑体" w:hAnsi="黑体" w:eastAsia="黑体" w:cs="Times New Roman"/>
                <w:b/>
                <w:color w:val="000000" w:themeColor="text1"/>
                <w:sz w:val="21"/>
                <w:szCs w:val="22"/>
                <w:shd w:val="clear" w:color="auto" w:fill="auto"/>
                <w:lang w:val="en-US"/>
                <w14:textFill>
                  <w14:solidFill>
                    <w14:schemeClr w14:val="tx1"/>
                  </w14:solidFill>
                </w14:textFill>
              </w:rPr>
              <w:footnoteReference w:id="13"/>
            </w:r>
            <w:r>
              <w:rPr>
                <w:rFonts w:hint="eastAsia" w:ascii="宋体" w:hAnsi="宋体" w:eastAsia="宋体" w:cs="宋体"/>
                <w:sz w:val="21"/>
                <w:szCs w:val="24"/>
              </w:rPr>
              <w:t>发生</w:t>
            </w:r>
            <w:r>
              <w:rPr>
                <w:rFonts w:hint="eastAsia" w:ascii="宋体" w:hAnsi="宋体" w:cs="宋体"/>
                <w:sz w:val="21"/>
                <w:szCs w:val="24"/>
                <w:lang w:val="en-US" w:eastAsia="zh-CN"/>
              </w:rPr>
              <w:t>合理且必要</w:t>
            </w:r>
            <w:r>
              <w:rPr>
                <w:rFonts w:hint="eastAsia" w:ascii="宋体" w:hAnsi="宋体" w:eastAsia="宋体" w:cs="宋体"/>
                <w:sz w:val="21"/>
                <w:szCs w:val="24"/>
              </w:rPr>
              <w:t>的</w:t>
            </w:r>
            <w:r>
              <w:rPr>
                <w:rFonts w:hint="eastAsia" w:ascii="宋体" w:hAnsi="宋体" w:cs="宋体"/>
                <w:sz w:val="21"/>
                <w:szCs w:val="24"/>
                <w:lang w:val="en-US" w:eastAsia="zh-CN"/>
              </w:rPr>
              <w:t>药品费和医疗器械费；</w:t>
            </w:r>
          </w:p>
          <w:p w14:paraId="1513507E">
            <w:pPr>
              <w:pStyle w:val="2"/>
              <w:numPr>
                <w:ilvl w:val="-1"/>
                <w:numId w:val="0"/>
              </w:numPr>
              <w:ind w:left="0" w:firstLine="0"/>
              <w:rPr>
                <w:rFonts w:hint="eastAsia" w:ascii="宋体" w:hAnsi="宋体" w:eastAsia="宋体" w:cs="宋体"/>
                <w:b w:val="0"/>
                <w:sz w:val="21"/>
                <w:szCs w:val="24"/>
                <w:shd w:val="clear"/>
                <w:lang w:val="en-US" w:eastAsia="zh-CN"/>
              </w:rPr>
            </w:pPr>
            <w:r>
              <w:rPr>
                <w:rFonts w:hint="eastAsia" w:ascii="宋体" w:hAnsi="宋体" w:cs="宋体"/>
                <w:sz w:val="21"/>
                <w:szCs w:val="24"/>
                <w:lang w:val="en-US" w:eastAsia="zh-CN"/>
              </w:rPr>
              <w:t>（3）被保险人</w:t>
            </w:r>
            <w:r>
              <w:rPr>
                <w:rFonts w:hint="eastAsia" w:ascii="宋体" w:hAnsi="宋体" w:eastAsia="宋体" w:cs="宋体"/>
                <w:sz w:val="21"/>
                <w:szCs w:val="24"/>
              </w:rPr>
              <w:t>因健康检查需要在</w:t>
            </w:r>
            <w:r>
              <w:rPr>
                <w:rFonts w:hint="eastAsia" w:ascii="黑体" w:hAnsi="黑体" w:eastAsia="黑体" w:cs="黑体"/>
                <w:b/>
                <w:bCs/>
                <w:sz w:val="21"/>
                <w:szCs w:val="24"/>
                <w:lang w:val="en-US" w:eastAsia="zh-CN"/>
              </w:rPr>
              <w:t>指定医疗机构或</w:t>
            </w:r>
            <w:r>
              <w:rPr>
                <w:rFonts w:hint="eastAsia" w:ascii="黑体" w:hAnsi="黑体" w:eastAsia="黑体" w:cs="黑体"/>
                <w:b/>
                <w:bCs/>
                <w:sz w:val="21"/>
                <w:szCs w:val="24"/>
                <w:shd w:val="clear"/>
                <w:lang w:val="en-US" w:eastAsia="zh-CN"/>
              </w:rPr>
              <w:t>体检机构</w:t>
            </w:r>
            <w:r>
              <w:rPr>
                <w:rStyle w:val="23"/>
                <w:rFonts w:hint="default" w:ascii="黑体" w:hAnsi="黑体" w:eastAsia="黑体" w:cs="Times New Roman"/>
                <w:b/>
                <w:sz w:val="21"/>
                <w:szCs w:val="22"/>
                <w:shd w:val="clear" w:color="auto" w:fill="auto"/>
                <w:lang w:val="en-US" w:eastAsia="zh-CN"/>
              </w:rPr>
              <w:footnoteReference w:id="14"/>
            </w:r>
            <w:r>
              <w:rPr>
                <w:rFonts w:hint="eastAsia" w:ascii="宋体" w:hAnsi="宋体" w:eastAsia="宋体" w:cs="宋体"/>
                <w:sz w:val="21"/>
                <w:szCs w:val="24"/>
                <w:lang w:val="en-US"/>
              </w:rPr>
              <w:t>发生</w:t>
            </w:r>
            <w:r>
              <w:rPr>
                <w:rFonts w:hint="eastAsia" w:ascii="宋体" w:hAnsi="宋体" w:eastAsia="宋体" w:cs="宋体"/>
                <w:sz w:val="21"/>
                <w:szCs w:val="24"/>
              </w:rPr>
              <w:t>的</w:t>
            </w:r>
            <w:r>
              <w:rPr>
                <w:rFonts w:hint="eastAsia" w:ascii="宋体" w:hAnsi="宋体" w:eastAsia="宋体" w:cs="宋体"/>
                <w:b w:val="0"/>
                <w:sz w:val="21"/>
                <w:szCs w:val="24"/>
                <w:shd w:val="clear"/>
                <w:lang w:val="en-US"/>
              </w:rPr>
              <w:t>健康检查费用</w:t>
            </w:r>
            <w:r>
              <w:rPr>
                <w:rFonts w:hint="eastAsia" w:ascii="宋体" w:hAnsi="宋体" w:eastAsia="宋体" w:cs="宋体"/>
                <w:b w:val="0"/>
                <w:sz w:val="21"/>
                <w:szCs w:val="24"/>
                <w:shd w:val="clear"/>
                <w:lang w:val="en-US" w:eastAsia="zh-CN"/>
              </w:rPr>
              <w:t>；</w:t>
            </w:r>
          </w:p>
          <w:p w14:paraId="273C8CD6">
            <w:pPr>
              <w:pStyle w:val="2"/>
              <w:numPr>
                <w:ilvl w:val="-1"/>
                <w:numId w:val="0"/>
              </w:numPr>
              <w:ind w:left="0" w:firstLine="0"/>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（4）被保险人在</w:t>
            </w:r>
            <w:r>
              <w:rPr>
                <w:rFonts w:hint="eastAsia" w:ascii="黑体" w:hAnsi="黑体" w:eastAsia="黑体"/>
                <w:b/>
                <w:color w:val="000000" w:themeColor="text1"/>
                <w:sz w:val="21"/>
                <w:szCs w:val="22"/>
                <w:highlight w:val="none"/>
                <w:shd w:val="clear" w:color="auto" w:fill="auto"/>
                <w:lang w:val="en-US"/>
                <w14:textFill>
                  <w14:solidFill>
                    <w14:schemeClr w14:val="tx1"/>
                  </w14:solidFill>
                </w14:textFill>
              </w:rPr>
              <w:t>指定互联网药店</w:t>
            </w:r>
            <w:r>
              <w:rPr>
                <w:rStyle w:val="23"/>
                <w:rFonts w:hint="default" w:ascii="黑体" w:hAnsi="黑体" w:eastAsia="黑体"/>
                <w:b/>
                <w:color w:val="000000" w:themeColor="text1"/>
                <w:sz w:val="21"/>
                <w:szCs w:val="22"/>
                <w:highlight w:val="none"/>
                <w:shd w:val="clear" w:color="auto" w:fill="auto"/>
                <w:lang w:val="en-US"/>
                <w14:textFill>
                  <w14:solidFill>
                    <w14:schemeClr w14:val="tx1"/>
                  </w14:solidFill>
                </w14:textFill>
              </w:rPr>
              <w:footnoteReference w:id="15"/>
            </w:r>
            <w:r>
              <w:rPr>
                <w:rFonts w:hint="eastAsia" w:ascii="宋体" w:hAnsi="宋体" w:eastAsia="宋体" w:cs="宋体"/>
                <w:sz w:val="21"/>
                <w:szCs w:val="24"/>
                <w:highlight w:val="none"/>
                <w:lang w:val="en-US"/>
              </w:rPr>
              <w:t>发生</w:t>
            </w:r>
            <w:r>
              <w:rPr>
                <w:rFonts w:hint="eastAsia" w:ascii="宋体" w:hAnsi="宋体" w:cs="宋体"/>
                <w:sz w:val="21"/>
                <w:szCs w:val="24"/>
                <w:highlight w:val="none"/>
                <w:lang w:val="en-US" w:eastAsia="zh-CN"/>
              </w:rPr>
              <w:t>合理且必要</w:t>
            </w:r>
            <w:r>
              <w:rPr>
                <w:rFonts w:hint="eastAsia" w:ascii="宋体" w:hAnsi="宋体" w:eastAsia="宋体" w:cs="宋体"/>
                <w:sz w:val="21"/>
                <w:szCs w:val="24"/>
                <w:highlight w:val="none"/>
                <w:lang w:val="en-US"/>
              </w:rPr>
              <w:t>的药品费</w:t>
            </w:r>
            <w:r>
              <w:rPr>
                <w:rFonts w:hint="eastAsia" w:ascii="宋体" w:hAnsi="宋体" w:cs="宋体"/>
                <w:sz w:val="21"/>
                <w:szCs w:val="24"/>
                <w:highlight w:val="none"/>
                <w:lang w:val="en-US" w:eastAsia="zh-CN"/>
              </w:rPr>
              <w:t>、</w:t>
            </w:r>
            <w:r>
              <w:rPr>
                <w:rFonts w:hint="eastAsia" w:ascii="宋体" w:hAnsi="宋体" w:eastAsia="宋体" w:cs="宋体"/>
                <w:sz w:val="21"/>
                <w:szCs w:val="24"/>
                <w:highlight w:val="none"/>
                <w:lang w:val="en-US"/>
              </w:rPr>
              <w:t>医疗器械费</w:t>
            </w:r>
            <w:r>
              <w:rPr>
                <w:rFonts w:hint="eastAsia" w:ascii="宋体" w:hAnsi="宋体" w:cs="宋体"/>
                <w:sz w:val="21"/>
                <w:szCs w:val="24"/>
                <w:highlight w:val="none"/>
                <w:lang w:val="en-US" w:eastAsia="zh-CN"/>
              </w:rPr>
              <w:t>；</w:t>
            </w:r>
          </w:p>
          <w:p w14:paraId="5D314C9B">
            <w:pPr>
              <w:pStyle w:val="2"/>
              <w:numPr>
                <w:ilvl w:val="-1"/>
                <w:numId w:val="0"/>
              </w:numPr>
              <w:ind w:left="0" w:firstLine="0"/>
              <w:rPr>
                <w:rFonts w:hint="eastAsia" w:ascii="宋体" w:hAnsi="宋体" w:eastAsia="宋体" w:cs="宋体"/>
                <w:sz w:val="21"/>
                <w:szCs w:val="24"/>
                <w:highlight w:val="none"/>
                <w:lang w:val="en-US" w:eastAsia="zh-CN"/>
              </w:rPr>
            </w:pPr>
            <w:r>
              <w:rPr>
                <w:rFonts w:hint="eastAsia" w:ascii="宋体" w:hAnsi="宋体" w:cs="宋体"/>
                <w:sz w:val="21"/>
                <w:szCs w:val="24"/>
                <w:highlight w:val="none"/>
                <w:lang w:val="en-US" w:eastAsia="zh-CN"/>
              </w:rPr>
              <w:t>（5）被保险人在</w:t>
            </w:r>
            <w:r>
              <w:rPr>
                <w:rFonts w:hint="eastAsia" w:ascii="黑体" w:hAnsi="黑体" w:eastAsia="黑体"/>
                <w:b/>
                <w:color w:val="000000" w:themeColor="text1"/>
                <w:sz w:val="21"/>
                <w:szCs w:val="22"/>
                <w:highlight w:val="none"/>
                <w:shd w:val="clear" w:color="auto" w:fill="auto"/>
                <w:lang w:val="en-US"/>
                <w14:textFill>
                  <w14:solidFill>
                    <w14:schemeClr w14:val="tx1"/>
                  </w14:solidFill>
                </w14:textFill>
              </w:rPr>
              <w:t>指</w:t>
            </w:r>
            <w:r>
              <w:rPr>
                <w:rFonts w:hint="eastAsia" w:ascii="黑体" w:hAnsi="黑体" w:eastAsia="黑体"/>
                <w:b/>
                <w:color w:val="000000" w:themeColor="text1"/>
                <w:sz w:val="21"/>
                <w:szCs w:val="22"/>
                <w:shd w:val="clear" w:color="auto" w:fill="auto"/>
                <w:lang w:val="en-US"/>
                <w14:textFill>
                  <w14:solidFill>
                    <w14:schemeClr w14:val="tx1"/>
                  </w14:solidFill>
                </w14:textFill>
              </w:rPr>
              <w:t>定健康管理机构</w:t>
            </w:r>
            <w:r>
              <w:rPr>
                <w:rStyle w:val="23"/>
                <w:rFonts w:hint="default" w:ascii="黑体" w:hAnsi="黑体" w:eastAsia="黑体"/>
                <w:b/>
                <w:color w:val="000000" w:themeColor="text1"/>
                <w:sz w:val="21"/>
                <w:szCs w:val="22"/>
                <w:shd w:val="clear" w:color="auto" w:fill="auto"/>
                <w:lang w:val="en-US"/>
                <w14:textFill>
                  <w14:solidFill>
                    <w14:schemeClr w14:val="tx1"/>
                  </w14:solidFill>
                </w14:textFill>
              </w:rPr>
              <w:footnoteReference w:id="16"/>
            </w:r>
            <w:r>
              <w:rPr>
                <w:rFonts w:hint="eastAsia" w:ascii="宋体" w:hAnsi="宋体" w:eastAsia="宋体" w:cs="宋体"/>
                <w:sz w:val="21"/>
                <w:szCs w:val="24"/>
                <w:highlight w:val="none"/>
                <w:lang w:val="en-US"/>
              </w:rPr>
              <w:t>发生的</w:t>
            </w:r>
            <w:r>
              <w:rPr>
                <w:rFonts w:hint="eastAsia" w:ascii="宋体" w:hAnsi="宋体" w:eastAsia="宋体" w:cs="宋体"/>
                <w:color w:val="auto"/>
                <w:sz w:val="21"/>
                <w:szCs w:val="24"/>
                <w:highlight w:val="none"/>
                <w:lang w:val="en-US"/>
              </w:rPr>
              <w:t>健康管理服务费</w:t>
            </w:r>
            <w:r>
              <w:rPr>
                <w:rFonts w:hint="eastAsia" w:ascii="宋体" w:hAnsi="宋体" w:cs="宋体"/>
                <w:sz w:val="21"/>
                <w:szCs w:val="24"/>
                <w:highlight w:val="none"/>
                <w:lang w:val="en-US" w:eastAsia="zh-CN"/>
              </w:rPr>
              <w:t>。</w:t>
            </w:r>
          </w:p>
          <w:p w14:paraId="0A10B281">
            <w:pPr>
              <w:pStyle w:val="2"/>
              <w:rPr>
                <w:rFonts w:hint="eastAsia" w:ascii="宋体" w:hAnsi="宋体" w:cs="宋体"/>
                <w:color w:val="0000FF"/>
                <w:sz w:val="21"/>
                <w:szCs w:val="24"/>
                <w:highlight w:val="none"/>
                <w:shd w:val="clear" w:color="FFFFFF" w:fill="D9D9D9"/>
                <w:lang w:val="en-US" w:eastAsia="zh-CN"/>
              </w:rPr>
            </w:pPr>
            <w:r>
              <w:rPr>
                <w:rFonts w:hint="eastAsia" w:ascii="宋体" w:hAnsi="宋体" w:cs="宋体"/>
                <w:sz w:val="21"/>
                <w:szCs w:val="24"/>
                <w:highlight w:val="none"/>
                <w:lang w:val="en-US" w:eastAsia="zh-CN"/>
              </w:rPr>
              <w:t>若您选择的交费期间为趸交，一般医疗保险金在第1至10个保单年度的每个保单年度内的赔付限额为：基本保险金额×0.5%×(1+(n-1)×2.0%)，第11个保单年度及以后的保单年度内的赔付限额为0，其中n为</w:t>
            </w:r>
            <w:r>
              <w:rPr>
                <w:rFonts w:hint="eastAsia" w:ascii="黑体" w:hAnsi="黑体" w:eastAsia="黑体" w:cs="宋体"/>
                <w:b/>
                <w:i w:val="0"/>
                <w:iCs w:val="0"/>
                <w:color w:val="auto"/>
                <w:kern w:val="2"/>
                <w:sz w:val="21"/>
                <w:szCs w:val="22"/>
                <w:u w:val="none"/>
                <w:lang w:val="en-US" w:eastAsia="zh-CN" w:bidi="ar"/>
              </w:rPr>
              <w:t>保单年度数</w:t>
            </w:r>
            <w:r>
              <w:rPr>
                <w:rStyle w:val="23"/>
                <w:rFonts w:hint="default" w:ascii="黑体" w:hAnsi="黑体" w:eastAsia="黑体" w:cs="Times New Roman"/>
                <w:b/>
                <w:i w:val="0"/>
                <w:iCs w:val="0"/>
                <w:color w:val="000000" w:themeColor="text1"/>
                <w:kern w:val="2"/>
                <w:sz w:val="21"/>
                <w:szCs w:val="22"/>
                <w:u w:val="none"/>
                <w:lang w:val="en-US" w:eastAsia="zh-CN" w:bidi="ar-SA"/>
                <w14:textFill>
                  <w14:solidFill>
                    <w14:schemeClr w14:val="tx1"/>
                  </w14:solidFill>
                </w14:textFill>
              </w:rPr>
              <w:footnoteReference w:id="17"/>
            </w:r>
            <w:r>
              <w:rPr>
                <w:rFonts w:hint="eastAsia" w:ascii="宋体" w:hAnsi="宋体" w:cs="宋体"/>
                <w:sz w:val="21"/>
                <w:szCs w:val="24"/>
                <w:highlight w:val="none"/>
                <w:lang w:val="en-US" w:eastAsia="zh-CN"/>
              </w:rPr>
              <w:t>。上述赔付限额在相应保单年度内未使用完的，可进行累计，且在本主险合同有效期内终身有效，</w:t>
            </w:r>
            <w:r>
              <w:rPr>
                <w:rFonts w:hint="eastAsia" w:ascii="宋体" w:hAnsi="宋体" w:cs="宋体"/>
                <w:sz w:val="21"/>
                <w:szCs w:val="24"/>
                <w:highlight w:val="none"/>
                <w:shd w:val="clear" w:color="FFFFFF" w:fill="D9D9D9"/>
                <w:lang w:val="en-US" w:eastAsia="zh-CN"/>
              </w:rPr>
              <w:t>即本主险合同一般医疗保险金累计最高赔付总限额为基本保险金额的5.45</w:t>
            </w:r>
            <w:r>
              <w:rPr>
                <w:rFonts w:hint="eastAsia" w:ascii="宋体" w:hAnsi="宋体" w:eastAsia="宋体" w:cs="宋体"/>
                <w:sz w:val="21"/>
                <w:szCs w:val="24"/>
                <w:highlight w:val="none"/>
                <w:shd w:val="clear" w:color="FFFFFF" w:fill="D9D9D9"/>
                <w:lang w:val="en-US"/>
              </w:rPr>
              <w:t>%。</w:t>
            </w:r>
          </w:p>
          <w:p w14:paraId="23866006">
            <w:pPr>
              <w:pStyle w:val="2"/>
              <w:rPr>
                <w:rFonts w:hint="eastAsia" w:ascii="宋体" w:hAnsi="宋体" w:eastAsia="宋体" w:cs="宋体"/>
                <w:sz w:val="21"/>
                <w:szCs w:val="24"/>
                <w:highlight w:val="none"/>
                <w:shd w:val="clear" w:color="FFFFFF" w:fill="D9D9D9"/>
                <w:lang w:val="en-US"/>
              </w:rPr>
            </w:pPr>
            <w:r>
              <w:rPr>
                <w:rFonts w:hint="eastAsia" w:ascii="宋体" w:hAnsi="宋体" w:cs="宋体"/>
                <w:sz w:val="21"/>
                <w:szCs w:val="24"/>
                <w:highlight w:val="none"/>
                <w:lang w:val="en-US" w:eastAsia="zh-CN"/>
              </w:rPr>
              <w:t>若您选择的交费期间为3年、5年或10年，一般医疗保险金在第1至10个保单年度的每个保单年度内的赔付限额为：基本保险金额×0.6%×(1+(n-1)×2.0%)，第11个保单年度及以后的保单年度内的赔付限额为0，其中n为保单年度数。上述赔付限额在相应保单年度内未使用完的，可进行累计，且在本主险合同有效期内终身有效，</w:t>
            </w:r>
            <w:r>
              <w:rPr>
                <w:rFonts w:hint="eastAsia" w:ascii="宋体" w:hAnsi="宋体" w:cs="宋体"/>
                <w:sz w:val="21"/>
                <w:szCs w:val="24"/>
                <w:highlight w:val="none"/>
                <w:shd w:val="clear" w:color="FFFFFF" w:fill="D9D9D9"/>
                <w:lang w:val="en-US" w:eastAsia="zh-CN"/>
              </w:rPr>
              <w:t>即本主险合同一般医疗保险金累计最高赔付总限额为基本保险金额的6.54</w:t>
            </w:r>
            <w:r>
              <w:rPr>
                <w:rFonts w:hint="eastAsia" w:ascii="宋体" w:hAnsi="宋体" w:eastAsia="宋体" w:cs="宋体"/>
                <w:sz w:val="21"/>
                <w:szCs w:val="24"/>
                <w:highlight w:val="none"/>
                <w:shd w:val="clear" w:color="FFFFFF" w:fill="D9D9D9"/>
                <w:lang w:val="en-US"/>
              </w:rPr>
              <w:t>%。</w:t>
            </w:r>
          </w:p>
          <w:p w14:paraId="65C3E281">
            <w:pPr>
              <w:pStyle w:val="2"/>
              <w:rPr>
                <w:rFonts w:hint="eastAsia" w:ascii="宋体" w:hAnsi="宋体" w:cs="宋体"/>
                <w:sz w:val="21"/>
                <w:szCs w:val="24"/>
                <w:highlight w:val="none"/>
                <w:shd w:val="clear" w:color="FFFFFF" w:fill="D9D9D9"/>
                <w:lang w:val="en-US" w:eastAsia="zh-CN"/>
              </w:rPr>
            </w:pPr>
            <w:r>
              <w:rPr>
                <w:rFonts w:hint="eastAsia" w:ascii="宋体" w:hAnsi="宋体" w:cs="宋体"/>
                <w:sz w:val="21"/>
                <w:szCs w:val="24"/>
                <w:highlight w:val="none"/>
                <w:shd w:val="clear" w:color="FFFFFF" w:fill="D9D9D9"/>
                <w:lang w:val="en-US" w:eastAsia="zh-CN"/>
              </w:rPr>
              <w:t>当一般医疗保险金的累计赔付金额达到最高赔付总限额时，本项保险金责任终止。</w:t>
            </w:r>
          </w:p>
          <w:p w14:paraId="0F5A9447">
            <w:pPr>
              <w:pStyle w:val="2"/>
              <w:rPr>
                <w:rFonts w:hint="default" w:ascii="宋体" w:hAnsi="宋体" w:cs="宋体"/>
                <w:sz w:val="21"/>
                <w:szCs w:val="24"/>
                <w:highlight w:val="none"/>
                <w:shd w:val="clear" w:color="FFFFFF" w:fill="D9D9D9"/>
                <w:lang w:val="en-US" w:eastAsia="zh-CN"/>
              </w:rPr>
            </w:pPr>
            <w:r>
              <w:rPr>
                <w:rFonts w:hint="eastAsia" w:ascii="宋体" w:hAnsi="宋体"/>
                <w:lang w:val="en-US" w:eastAsia="zh-CN"/>
              </w:rPr>
              <w:t>上述第（4）项</w:t>
            </w:r>
            <w:r>
              <w:rPr>
                <w:rFonts w:hint="eastAsia" w:ascii="宋体" w:hAnsi="宋体"/>
              </w:rPr>
              <w:t>的费用</w:t>
            </w:r>
            <w:r>
              <w:rPr>
                <w:rFonts w:hint="eastAsia" w:cs="Times New Roman"/>
                <w:b w:val="0"/>
                <w:bCs w:val="0"/>
                <w:lang w:val="en-US" w:eastAsia="zh-CN"/>
              </w:rPr>
              <w:t>不适用</w:t>
            </w:r>
            <w:r>
              <w:rPr>
                <w:rFonts w:hint="eastAsia" w:ascii="宋体" w:hAnsi="宋体"/>
              </w:rPr>
              <w:t>保险事故发生后申请赔付保险金</w:t>
            </w:r>
            <w:r>
              <w:rPr>
                <w:rFonts w:hint="eastAsia" w:ascii="宋体" w:hAnsi="宋体"/>
                <w:lang w:val="en-US" w:eastAsia="zh-CN"/>
              </w:rPr>
              <w:t>的方式</w:t>
            </w:r>
            <w:r>
              <w:rPr>
                <w:rFonts w:hint="eastAsia" w:ascii="宋体" w:hAnsi="宋体"/>
                <w:lang w:eastAsia="zh-CN"/>
              </w:rPr>
              <w:t>。</w:t>
            </w:r>
          </w:p>
        </w:tc>
      </w:tr>
      <w:tr w14:paraId="51466E5B">
        <w:tblPrEx>
          <w:tblCellMar>
            <w:top w:w="0" w:type="dxa"/>
            <w:left w:w="108" w:type="dxa"/>
            <w:bottom w:w="0" w:type="dxa"/>
            <w:right w:w="108" w:type="dxa"/>
          </w:tblCellMar>
        </w:tblPrEx>
        <w:trPr>
          <w:trHeight w:val="332" w:hRule="atLeast"/>
        </w:trPr>
        <w:tc>
          <w:tcPr>
            <w:tcW w:w="552" w:type="pct"/>
          </w:tcPr>
          <w:p w14:paraId="7321A6B0">
            <w:pPr>
              <w:jc w:val="center"/>
              <w:rPr>
                <w:rFonts w:asciiTheme="minorHAnsi" w:hAnsiTheme="minorHAnsi" w:cstheme="minorHAnsi"/>
                <w:b/>
              </w:rPr>
            </w:pPr>
          </w:p>
        </w:tc>
        <w:tc>
          <w:tcPr>
            <w:tcW w:w="962" w:type="pct"/>
          </w:tcPr>
          <w:p w14:paraId="6D0498B5">
            <w:pPr>
              <w:adjustRightInd w:val="0"/>
              <w:snapToGrid w:val="0"/>
              <w:rPr>
                <w:rFonts w:ascii="华文新魏" w:hAnsi="宋体" w:eastAsia="华文新魏"/>
                <w:b/>
                <w:color w:val="000000" w:themeColor="text1"/>
                <w:sz w:val="24"/>
                <w14:textFill>
                  <w14:solidFill>
                    <w14:schemeClr w14:val="tx1"/>
                  </w14:solidFill>
                </w14:textFill>
              </w:rPr>
            </w:pPr>
          </w:p>
        </w:tc>
        <w:tc>
          <w:tcPr>
            <w:tcW w:w="3484" w:type="pct"/>
          </w:tcPr>
          <w:p w14:paraId="646351CF">
            <w:pPr>
              <w:rPr>
                <w:rFonts w:ascii="宋体" w:cs="宋体"/>
                <w:kern w:val="0"/>
                <w:szCs w:val="21"/>
              </w:rPr>
            </w:pPr>
          </w:p>
        </w:tc>
      </w:tr>
      <w:tr w14:paraId="0FF75945">
        <w:tblPrEx>
          <w:tblCellMar>
            <w:top w:w="0" w:type="dxa"/>
            <w:left w:w="108" w:type="dxa"/>
            <w:bottom w:w="0" w:type="dxa"/>
            <w:right w:w="108" w:type="dxa"/>
          </w:tblCellMar>
        </w:tblPrEx>
        <w:trPr>
          <w:trHeight w:val="332" w:hRule="atLeast"/>
        </w:trPr>
        <w:tc>
          <w:tcPr>
            <w:tcW w:w="552" w:type="pct"/>
          </w:tcPr>
          <w:p w14:paraId="62A1A30F">
            <w:pPr>
              <w:jc w:val="center"/>
              <w:rPr>
                <w:rFonts w:hint="default" w:eastAsia="宋体" w:asciiTheme="minorHAnsi" w:hAnsiTheme="minorHAnsi" w:cstheme="minorHAnsi"/>
                <w:b/>
                <w:lang w:val="en-US" w:eastAsia="zh-CN"/>
              </w:rPr>
            </w:pPr>
            <w:r>
              <w:rPr>
                <w:rFonts w:hint="eastAsia" w:asciiTheme="minorHAnsi" w:hAnsiTheme="minorHAnsi" w:cstheme="minorHAnsi"/>
                <w:b/>
                <w:lang w:val="en-US" w:eastAsia="zh-CN"/>
              </w:rPr>
              <w:t>2.2.5</w:t>
            </w:r>
          </w:p>
        </w:tc>
        <w:tc>
          <w:tcPr>
            <w:tcW w:w="962" w:type="pct"/>
          </w:tcPr>
          <w:p w14:paraId="0D4BEA26">
            <w:pPr>
              <w:adjustRightInd w:val="0"/>
              <w:snapToGrid w:val="0"/>
              <w:rPr>
                <w:rFonts w:hint="default" w:ascii="华文新魏" w:hAnsi="宋体" w:eastAsia="华文新魏"/>
                <w:b/>
                <w:color w:val="000000" w:themeColor="text1"/>
                <w:sz w:val="24"/>
                <w:lang w:val="en-US" w:eastAsia="zh-CN"/>
                <w14:textFill>
                  <w14:solidFill>
                    <w14:schemeClr w14:val="tx1"/>
                  </w14:solidFill>
                </w14:textFill>
              </w:rPr>
            </w:pPr>
            <w:r>
              <w:rPr>
                <w:rFonts w:hint="eastAsia" w:ascii="华文新魏" w:hAnsi="宋体" w:eastAsia="华文新魏"/>
                <w:b/>
                <w:color w:val="000000" w:themeColor="text1"/>
                <w:sz w:val="24"/>
                <w:lang w:val="en-US" w:eastAsia="zh-CN"/>
                <w14:textFill>
                  <w14:solidFill>
                    <w14:schemeClr w14:val="tx1"/>
                  </w14:solidFill>
                </w14:textFill>
              </w:rPr>
              <w:t>补偿原则</w:t>
            </w:r>
          </w:p>
        </w:tc>
        <w:tc>
          <w:tcPr>
            <w:tcW w:w="3484" w:type="pct"/>
          </w:tcPr>
          <w:p w14:paraId="7C451102">
            <w:pPr>
              <w:rPr>
                <w:rFonts w:ascii="宋体" w:cs="宋体"/>
                <w:kern w:val="0"/>
                <w:szCs w:val="21"/>
              </w:rPr>
            </w:pPr>
            <w:r>
              <w:rPr>
                <w:rFonts w:hint="eastAsia" w:ascii="宋体" w:hAnsi="宋体"/>
                <w:szCs w:val="21"/>
                <w:highlight w:val="none"/>
                <w:shd w:val="clear" w:color="FFFFFF" w:fill="D9D9D9"/>
              </w:rPr>
              <w:t>对于</w:t>
            </w:r>
            <w:r>
              <w:rPr>
                <w:rFonts w:hint="eastAsia" w:ascii="宋体" w:hAnsi="宋体"/>
                <w:szCs w:val="21"/>
                <w:highlight w:val="none"/>
                <w:shd w:val="clear" w:color="FFFFFF" w:fill="D9D9D9"/>
                <w:lang w:val="en-US" w:eastAsia="zh-CN"/>
              </w:rPr>
              <w:t>上述一般</w:t>
            </w:r>
            <w:r>
              <w:rPr>
                <w:rFonts w:hint="eastAsia" w:ascii="宋体" w:hAnsi="宋体"/>
                <w:szCs w:val="21"/>
                <w:highlight w:val="none"/>
                <w:shd w:val="clear" w:color="FFFFFF" w:fill="D9D9D9"/>
              </w:rPr>
              <w:t>医疗保险金责任，若被保险人已从其他途径（包括基本医疗保险、公费医疗、城乡居民大病保险、工作单位、第三方侵权责任人（包含法人）或本公司在内的任何商业保险机构等）取得补偿的，我们</w:t>
            </w:r>
            <w:r>
              <w:rPr>
                <w:rFonts w:hint="eastAsia" w:ascii="宋体" w:hAnsi="宋体"/>
                <w:bCs/>
                <w:szCs w:val="21"/>
                <w:highlight w:val="none"/>
                <w:shd w:val="clear" w:color="FFFFFF" w:fill="D9D9D9"/>
              </w:rPr>
              <w:t>将按上述约定计算并赔付保险金，且最高赔付金额不超过被保险人实际发生的医疗费用扣除其所获补偿后的余额。</w:t>
            </w:r>
          </w:p>
        </w:tc>
      </w:tr>
      <w:tr w14:paraId="186D23C7">
        <w:tblPrEx>
          <w:tblCellMar>
            <w:top w:w="0" w:type="dxa"/>
            <w:left w:w="108" w:type="dxa"/>
            <w:bottom w:w="0" w:type="dxa"/>
            <w:right w:w="108" w:type="dxa"/>
          </w:tblCellMar>
        </w:tblPrEx>
        <w:trPr>
          <w:cantSplit/>
        </w:trPr>
        <w:tc>
          <w:tcPr>
            <w:tcW w:w="552" w:type="pct"/>
            <w:tcBorders>
              <w:bottom w:val="single" w:color="000000" w:sz="4" w:space="0"/>
            </w:tcBorders>
          </w:tcPr>
          <w:p w14:paraId="1A085791">
            <w:pPr>
              <w:adjustRightInd w:val="0"/>
              <w:snapToGrid w:val="0"/>
              <w:jc w:val="center"/>
              <w:rPr>
                <w:rFonts w:hint="eastAsia" w:ascii="Wingdings 2" w:hAnsi="Wingdings 2"/>
                <w:b/>
                <w:color w:val="000000" w:themeColor="text1"/>
                <w:sz w:val="40"/>
                <w14:textFill>
                  <w14:solidFill>
                    <w14:schemeClr w14:val="tx1"/>
                  </w14:solidFill>
                </w14:textFill>
              </w:rPr>
            </w:pPr>
            <w:r>
              <w:rPr>
                <w:rFonts w:ascii="Wingdings 2" w:hAnsi="Wingdings 2"/>
                <w:b/>
                <w:color w:val="000000" w:themeColor="text1"/>
                <w:sz w:val="40"/>
                <w14:textFill>
                  <w14:solidFill>
                    <w14:schemeClr w14:val="tx1"/>
                  </w14:solidFill>
                </w14:textFill>
              </w:rPr>
              <w:t></w:t>
            </w:r>
          </w:p>
        </w:tc>
        <w:tc>
          <w:tcPr>
            <w:tcW w:w="4447" w:type="pct"/>
            <w:gridSpan w:val="2"/>
            <w:tcBorders>
              <w:bottom w:val="single" w:color="000000" w:sz="4" w:space="0"/>
            </w:tcBorders>
            <w:vAlign w:val="center"/>
          </w:tcPr>
          <w:p w14:paraId="4D14221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责任免除及其他</w:t>
            </w:r>
          </w:p>
        </w:tc>
      </w:tr>
      <w:tr w14:paraId="3C2819F5">
        <w:tblPrEx>
          <w:tblCellMar>
            <w:top w:w="0" w:type="dxa"/>
            <w:left w:w="108" w:type="dxa"/>
            <w:bottom w:w="0" w:type="dxa"/>
            <w:right w:w="108" w:type="dxa"/>
          </w:tblCellMar>
        </w:tblPrEx>
        <w:trPr>
          <w:trHeight w:val="262" w:hRule="atLeast"/>
        </w:trPr>
        <w:tc>
          <w:tcPr>
            <w:tcW w:w="552" w:type="pct"/>
            <w:tcBorders>
              <w:top w:val="single" w:color="000000" w:sz="4" w:space="0"/>
            </w:tcBorders>
          </w:tcPr>
          <w:p w14:paraId="2E024516">
            <w:pPr>
              <w:jc w:val="center"/>
              <w:rPr>
                <w:rFonts w:ascii="宋体" w:hAnsi="宋体"/>
                <w:color w:val="000000" w:themeColor="text1"/>
                <w:szCs w:val="24"/>
                <w14:textFill>
                  <w14:solidFill>
                    <w14:schemeClr w14:val="tx1"/>
                  </w14:solidFill>
                </w14:textFill>
              </w:rPr>
            </w:pPr>
          </w:p>
        </w:tc>
        <w:tc>
          <w:tcPr>
            <w:tcW w:w="962" w:type="pct"/>
            <w:tcBorders>
              <w:top w:val="single" w:color="000000" w:sz="4" w:space="0"/>
            </w:tcBorders>
          </w:tcPr>
          <w:p w14:paraId="282134E3">
            <w:pPr>
              <w:rPr>
                <w:rFonts w:ascii="宋体" w:hAnsi="宋体"/>
                <w:color w:val="000000" w:themeColor="text1"/>
                <w:szCs w:val="24"/>
                <w14:textFill>
                  <w14:solidFill>
                    <w14:schemeClr w14:val="tx1"/>
                  </w14:solidFill>
                </w14:textFill>
              </w:rPr>
            </w:pPr>
          </w:p>
        </w:tc>
        <w:tc>
          <w:tcPr>
            <w:tcW w:w="3484" w:type="pct"/>
            <w:tcBorders>
              <w:top w:val="single" w:color="000000" w:sz="4" w:space="0"/>
            </w:tcBorders>
          </w:tcPr>
          <w:p w14:paraId="1CF69E6A">
            <w:pPr>
              <w:rPr>
                <w:rFonts w:ascii="宋体" w:hAnsi="宋体"/>
                <w:color w:val="000000" w:themeColor="text1"/>
                <w:szCs w:val="24"/>
                <w14:textFill>
                  <w14:solidFill>
                    <w14:schemeClr w14:val="tx1"/>
                  </w14:solidFill>
                </w14:textFill>
              </w:rPr>
            </w:pPr>
          </w:p>
        </w:tc>
      </w:tr>
      <w:tr w14:paraId="491198D4">
        <w:tblPrEx>
          <w:tblCellMar>
            <w:top w:w="0" w:type="dxa"/>
            <w:left w:w="108" w:type="dxa"/>
            <w:bottom w:w="0" w:type="dxa"/>
            <w:right w:w="108" w:type="dxa"/>
          </w:tblCellMar>
        </w:tblPrEx>
        <w:trPr>
          <w:trHeight w:val="7662" w:hRule="atLeast"/>
        </w:trPr>
        <w:tc>
          <w:tcPr>
            <w:tcW w:w="552" w:type="pct"/>
          </w:tcPr>
          <w:p w14:paraId="6978907C">
            <w:pPr>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3.1</w:t>
            </w:r>
          </w:p>
        </w:tc>
        <w:tc>
          <w:tcPr>
            <w:tcW w:w="962" w:type="pct"/>
          </w:tcPr>
          <w:p w14:paraId="514BE5FF">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责任免除</w:t>
            </w:r>
          </w:p>
        </w:tc>
        <w:tc>
          <w:tcPr>
            <w:tcW w:w="3484" w:type="pct"/>
            <w:shd w:val="clear" w:color="auto" w:fill="auto"/>
            <w:vAlign w:val="top"/>
          </w:tcPr>
          <w:p w14:paraId="4DC313D4">
            <w:pPr>
              <w:pStyle w:val="35"/>
              <w:numPr>
                <w:ilvl w:val="-1"/>
                <w:numId w:val="0"/>
              </w:numPr>
              <w:tabs>
                <w:tab w:val="left" w:pos="696"/>
              </w:tabs>
              <w:ind w:left="0" w:firstLine="0" w:firstLineChars="0"/>
              <w:rPr>
                <w:rFonts w:hint="eastAsia" w:ascii="宋体" w:hAnsi="宋体" w:cs="宋体"/>
                <w:kern w:val="2"/>
                <w:szCs w:val="22"/>
                <w:shd w:val="clear" w:color="FFFFFF" w:fill="D9D9D9"/>
              </w:rPr>
            </w:pPr>
            <w:r>
              <w:rPr>
                <w:rFonts w:hint="eastAsia"/>
                <w:color w:val="000000" w:themeColor="text1"/>
                <w:shd w:val="clear" w:color="FFFFFF" w:fill="D9D9D9"/>
                <w:lang w:val="en-US" w:eastAsia="zh-CN"/>
                <w14:textFill>
                  <w14:solidFill>
                    <w14:schemeClr w14:val="tx1"/>
                  </w14:solidFill>
                </w14:textFill>
              </w:rPr>
              <w:t>1.</w:t>
            </w:r>
            <w:r>
              <w:rPr>
                <w:rFonts w:hint="eastAsia"/>
                <w:color w:val="000000" w:themeColor="text1"/>
                <w:shd w:val="clear" w:color="FFFFFF" w:fill="D9D9D9"/>
                <w14:textFill>
                  <w14:solidFill>
                    <w14:schemeClr w14:val="tx1"/>
                  </w14:solidFill>
                </w14:textFill>
              </w:rPr>
              <w:t>因下列情形之一导致被保险人发生</w:t>
            </w:r>
            <w:r>
              <w:rPr>
                <w:rFonts w:hint="eastAsia"/>
                <w:color w:val="000000" w:themeColor="text1"/>
                <w:shd w:val="clear" w:color="FFFFFF" w:fill="D9D9D9"/>
                <w:lang w:val="en-US" w:eastAsia="zh-CN"/>
                <w14:textFill>
                  <w14:solidFill>
                    <w14:schemeClr w14:val="tx1"/>
                  </w14:solidFill>
                </w14:textFill>
              </w:rPr>
              <w:t>特定疾病确诊、身故</w:t>
            </w:r>
            <w:r>
              <w:rPr>
                <w:rFonts w:hint="eastAsia"/>
                <w:color w:val="000000" w:themeColor="text1"/>
                <w:shd w:val="clear" w:color="FFFFFF" w:fill="D9D9D9"/>
                <w14:textFill>
                  <w14:solidFill>
                    <w14:schemeClr w14:val="tx1"/>
                  </w14:solidFill>
                </w14:textFill>
              </w:rPr>
              <w:t>或造成医疗费用支出的，我们不承担</w:t>
            </w:r>
            <w:r>
              <w:rPr>
                <w:rFonts w:hint="eastAsia"/>
                <w:color w:val="000000" w:themeColor="text1"/>
                <w:shd w:val="clear" w:color="FFFFFF" w:fill="D9D9D9"/>
                <w:lang w:val="en-US" w:eastAsia="zh-CN"/>
                <w14:textFill>
                  <w14:solidFill>
                    <w14:schemeClr w14:val="tx1"/>
                  </w14:solidFill>
                </w14:textFill>
              </w:rPr>
              <w:t>保险</w:t>
            </w:r>
            <w:r>
              <w:rPr>
                <w:rFonts w:hint="eastAsia"/>
                <w:color w:val="000000" w:themeColor="text1"/>
                <w:shd w:val="clear" w:color="FFFFFF" w:fill="D9D9D9"/>
                <w14:textFill>
                  <w14:solidFill>
                    <w14:schemeClr w14:val="tx1"/>
                  </w14:solidFill>
                </w14:textFill>
              </w:rPr>
              <w:t>责任：</w:t>
            </w:r>
          </w:p>
          <w:p w14:paraId="78B2A718">
            <w:pPr>
              <w:pStyle w:val="35"/>
              <w:numPr>
                <w:ilvl w:val="0"/>
                <w:numId w:val="8"/>
              </w:numPr>
              <w:tabs>
                <w:tab w:val="left" w:pos="696"/>
              </w:tabs>
              <w:ind w:left="-13" w:firstLine="13" w:firstLineChars="0"/>
              <w:rPr>
                <w:rFonts w:ascii="宋体" w:hAnsi="宋体"/>
                <w:color w:val="000000" w:themeColor="text1"/>
                <w:shd w:val="clear" w:color="FFFFFF" w:fill="D9D9D9"/>
                <w14:textFill>
                  <w14:solidFill>
                    <w14:schemeClr w14:val="tx1"/>
                  </w14:solidFill>
                </w14:textFill>
              </w:rPr>
            </w:pPr>
            <w:r>
              <w:rPr>
                <w:rFonts w:hint="eastAsia" w:ascii="宋体" w:hAnsi="宋体"/>
                <w:color w:val="000000" w:themeColor="text1"/>
                <w:shd w:val="clear" w:color="FFFFFF" w:fill="D9D9D9"/>
                <w14:textFill>
                  <w14:solidFill>
                    <w14:schemeClr w14:val="tx1"/>
                  </w14:solidFill>
                </w14:textFill>
              </w:rPr>
              <w:t>投保人对被保险人的故意杀害、故意伤害；</w:t>
            </w:r>
          </w:p>
          <w:p w14:paraId="0235FB69">
            <w:pPr>
              <w:pStyle w:val="35"/>
              <w:numPr>
                <w:ilvl w:val="0"/>
                <w:numId w:val="8"/>
              </w:numPr>
              <w:tabs>
                <w:tab w:val="left" w:pos="696"/>
              </w:tabs>
              <w:ind w:left="-13" w:firstLine="12" w:firstLineChars="6"/>
              <w:rPr>
                <w:rFonts w:ascii="宋体" w:hAnsi="宋体"/>
                <w:color w:val="000000" w:themeColor="text1"/>
                <w:shd w:val="clear" w:color="FFFFFF" w:fill="D9D9D9"/>
                <w14:textFill>
                  <w14:solidFill>
                    <w14:schemeClr w14:val="tx1"/>
                  </w14:solidFill>
                </w14:textFill>
              </w:rPr>
            </w:pPr>
            <w:r>
              <w:rPr>
                <w:rFonts w:hint="eastAsia" w:ascii="宋体" w:hAnsi="宋体"/>
                <w:color w:val="000000" w:themeColor="text1"/>
                <w:shd w:val="clear" w:color="FFFFFF" w:fill="D9D9D9"/>
                <w14:textFill>
                  <w14:solidFill>
                    <w14:schemeClr w14:val="tx1"/>
                  </w14:solidFill>
                </w14:textFill>
              </w:rPr>
              <w:t>故意犯罪或者抗拒依法采取的刑事强制措施</w:t>
            </w:r>
            <w:r>
              <w:rPr>
                <w:rFonts w:ascii="宋体" w:hAnsi="宋体"/>
                <w:color w:val="000000" w:themeColor="text1"/>
                <w:shd w:val="clear" w:color="FFFFFF" w:fill="D9D9D9"/>
                <w14:textFill>
                  <w14:solidFill>
                    <w14:schemeClr w14:val="tx1"/>
                  </w14:solidFill>
                </w14:textFill>
              </w:rPr>
              <w:t>；</w:t>
            </w:r>
          </w:p>
          <w:p w14:paraId="2FFF981C">
            <w:pPr>
              <w:pStyle w:val="35"/>
              <w:numPr>
                <w:ilvl w:val="0"/>
                <w:numId w:val="8"/>
              </w:numPr>
              <w:tabs>
                <w:tab w:val="left" w:pos="696"/>
              </w:tabs>
              <w:ind w:left="-13" w:firstLine="12" w:firstLineChars="6"/>
              <w:rPr>
                <w:rFonts w:ascii="宋体" w:hAnsi="宋体"/>
                <w:color w:val="000000" w:themeColor="text1"/>
                <w:shd w:val="clear" w:color="FFFFFF" w:fill="D9D9D9"/>
                <w14:textFill>
                  <w14:solidFill>
                    <w14:schemeClr w14:val="tx1"/>
                  </w14:solidFill>
                </w14:textFill>
              </w:rPr>
            </w:pPr>
            <w:r>
              <w:rPr>
                <w:rFonts w:hint="eastAsia" w:ascii="宋体" w:hAnsi="宋体"/>
                <w:color w:val="000000" w:themeColor="text1"/>
                <w:shd w:val="clear" w:color="FFFFFF" w:fill="D9D9D9"/>
                <w14:textFill>
                  <w14:solidFill>
                    <w14:schemeClr w14:val="tx1"/>
                  </w14:solidFill>
                </w14:textFill>
              </w:rPr>
              <w:t>被保险人故意自伤、</w:t>
            </w:r>
            <w:r>
              <w:rPr>
                <w:rFonts w:hint="eastAsia" w:ascii="宋体" w:hAnsi="宋体" w:eastAsia="宋体"/>
                <w:color w:val="000000" w:themeColor="text1"/>
                <w:sz w:val="21"/>
                <w:szCs w:val="22"/>
                <w:shd w:val="clear" w:color="FFFFFF" w:fill="D9D9D9"/>
                <w14:textFill>
                  <w14:solidFill>
                    <w14:schemeClr w14:val="tx1"/>
                  </w14:solidFill>
                </w14:textFill>
              </w:rPr>
              <w:t>自本主险合同成立或者本主险合同效力恢复之日起2年内自杀，但被保险人自杀时为无民事行为能力人的除外</w:t>
            </w:r>
            <w:r>
              <w:rPr>
                <w:rFonts w:hint="eastAsia" w:ascii="宋体" w:hAnsi="宋体"/>
                <w:color w:val="000000" w:themeColor="text1"/>
                <w:sz w:val="21"/>
                <w:szCs w:val="22"/>
                <w:shd w:val="clear" w:color="FFFFFF" w:fill="D9D9D9"/>
                <w:lang w:eastAsia="zh-CN"/>
                <w14:textFill>
                  <w14:solidFill>
                    <w14:schemeClr w14:val="tx1"/>
                  </w14:solidFill>
                </w14:textFill>
              </w:rPr>
              <w:t>；</w:t>
            </w:r>
          </w:p>
          <w:p w14:paraId="2578412F">
            <w:pPr>
              <w:pStyle w:val="35"/>
              <w:numPr>
                <w:ilvl w:val="0"/>
                <w:numId w:val="8"/>
              </w:numPr>
              <w:tabs>
                <w:tab w:val="left" w:pos="696"/>
              </w:tabs>
              <w:ind w:left="-13" w:firstLine="13" w:firstLineChars="0"/>
              <w:rPr>
                <w:rFonts w:ascii="宋体" w:hAnsi="宋体" w:cs="宋体"/>
                <w:shd w:val="clear" w:color="FFFFFF" w:fill="D9D9D9"/>
              </w:rPr>
            </w:pPr>
            <w:r>
              <w:rPr>
                <w:rFonts w:hint="eastAsia" w:ascii="宋体" w:hAnsi="宋体" w:cs="宋体"/>
                <w:shd w:val="clear" w:color="FFFFFF" w:fill="D9D9D9"/>
              </w:rPr>
              <w:t>被保险人</w:t>
            </w:r>
            <w:r>
              <w:rPr>
                <w:rFonts w:hint="eastAsia" w:ascii="黑体" w:hAnsi="黑体" w:eastAsia="黑体"/>
                <w:b/>
                <w:color w:val="000000" w:themeColor="text1"/>
                <w:szCs w:val="24"/>
                <w:shd w:val="clear" w:color="FFFFFF" w:fill="D9D9D9"/>
                <w14:textFill>
                  <w14:solidFill>
                    <w14:schemeClr w14:val="tx1"/>
                  </w14:solidFill>
                </w14:textFill>
              </w:rPr>
              <w:t>殴斗</w:t>
            </w:r>
            <w:r>
              <w:rPr>
                <w:rStyle w:val="23"/>
                <w:rFonts w:ascii="黑体" w:hAnsi="宋体" w:eastAsia="黑体"/>
                <w:b/>
                <w:bCs/>
                <w:shd w:val="clear" w:color="FFFFFF" w:fill="D9D9D9"/>
              </w:rPr>
              <w:footnoteReference w:id="18"/>
            </w:r>
            <w:r>
              <w:rPr>
                <w:rFonts w:hint="eastAsia" w:ascii="宋体" w:hAnsi="宋体" w:cs="宋体"/>
                <w:shd w:val="clear" w:color="FFFFFF" w:fill="D9D9D9"/>
              </w:rPr>
              <w:t>、</w:t>
            </w:r>
            <w:r>
              <w:rPr>
                <w:rFonts w:hint="eastAsia" w:ascii="黑体" w:hAnsi="宋体" w:eastAsia="黑体"/>
                <w:b/>
                <w:bCs/>
                <w:color w:val="000000" w:themeColor="text1"/>
                <w:shd w:val="clear" w:color="FFFFFF" w:fill="D9D9D9"/>
                <w14:textFill>
                  <w14:solidFill>
                    <w14:schemeClr w14:val="tx1"/>
                  </w14:solidFill>
                </w14:textFill>
              </w:rPr>
              <w:t>醉酒</w:t>
            </w:r>
            <w:r>
              <w:rPr>
                <w:rStyle w:val="23"/>
                <w:rFonts w:ascii="黑体" w:hAnsi="宋体" w:eastAsia="黑体"/>
                <w:b/>
                <w:bCs/>
                <w:color w:val="000000" w:themeColor="text1"/>
                <w:shd w:val="clear" w:color="FFFFFF" w:fill="D9D9D9"/>
                <w14:textFill>
                  <w14:solidFill>
                    <w14:schemeClr w14:val="tx1"/>
                  </w14:solidFill>
                </w14:textFill>
              </w:rPr>
              <w:footnoteReference w:id="19"/>
            </w:r>
            <w:r>
              <w:rPr>
                <w:rFonts w:hint="eastAsia" w:ascii="宋体" w:hAnsi="宋体" w:cs="宋体"/>
                <w:shd w:val="clear" w:color="FFFFFF" w:fill="D9D9D9"/>
              </w:rPr>
              <w:t>、主动吸食或注射</w:t>
            </w:r>
            <w:r>
              <w:rPr>
                <w:rFonts w:hint="eastAsia" w:ascii="黑体" w:hAnsi="黑体" w:eastAsia="黑体" w:cs="宋体"/>
                <w:b/>
                <w:shd w:val="clear" w:color="FFFFFF" w:fill="D9D9D9"/>
              </w:rPr>
              <w:t>毒品</w:t>
            </w:r>
            <w:r>
              <w:rPr>
                <w:rStyle w:val="23"/>
                <w:rFonts w:ascii="黑体" w:hAnsi="宋体" w:eastAsia="黑体"/>
                <w:b/>
                <w:bCs/>
                <w:color w:val="000000" w:themeColor="text1"/>
                <w:shd w:val="clear" w:color="FFFFFF" w:fill="D9D9D9"/>
                <w14:textFill>
                  <w14:solidFill>
                    <w14:schemeClr w14:val="tx1"/>
                  </w14:solidFill>
                </w14:textFill>
              </w:rPr>
              <w:footnoteReference w:id="20"/>
            </w:r>
            <w:r>
              <w:rPr>
                <w:rFonts w:hint="eastAsia" w:ascii="宋体" w:hAnsi="宋体" w:cs="宋体"/>
                <w:shd w:val="clear" w:color="FFFFFF" w:fill="D9D9D9"/>
              </w:rPr>
              <w:t>；</w:t>
            </w:r>
          </w:p>
          <w:p w14:paraId="6B325F84">
            <w:pPr>
              <w:pStyle w:val="35"/>
              <w:numPr>
                <w:ilvl w:val="0"/>
                <w:numId w:val="8"/>
              </w:numPr>
              <w:tabs>
                <w:tab w:val="left" w:pos="696"/>
              </w:tabs>
              <w:ind w:left="-13" w:firstLine="13" w:firstLineChars="0"/>
              <w:rPr>
                <w:rFonts w:ascii="宋体" w:hAnsi="宋体"/>
                <w:color w:val="000000" w:themeColor="text1"/>
                <w:shd w:val="clear" w:color="FFFFFF" w:fill="D9D9D9"/>
                <w14:textFill>
                  <w14:solidFill>
                    <w14:schemeClr w14:val="tx1"/>
                  </w14:solidFill>
                </w14:textFill>
              </w:rPr>
            </w:pPr>
            <w:r>
              <w:rPr>
                <w:rFonts w:hint="eastAsia" w:ascii="宋体" w:hAnsi="宋体"/>
                <w:color w:val="000000" w:themeColor="text1"/>
                <w:shd w:val="clear" w:color="FFFFFF" w:fill="D9D9D9"/>
                <w14:textFill>
                  <w14:solidFill>
                    <w14:schemeClr w14:val="tx1"/>
                  </w14:solidFill>
                </w14:textFill>
              </w:rPr>
              <w:t>被保险人</w:t>
            </w:r>
            <w:r>
              <w:rPr>
                <w:rFonts w:hint="eastAsia" w:ascii="黑体" w:hAnsi="宋体" w:eastAsia="黑体"/>
                <w:b/>
                <w:bCs/>
                <w:color w:val="000000" w:themeColor="text1"/>
                <w:shd w:val="clear" w:color="FFFFFF" w:fill="D9D9D9"/>
                <w14:textFill>
                  <w14:solidFill>
                    <w14:schemeClr w14:val="tx1"/>
                  </w14:solidFill>
                </w14:textFill>
              </w:rPr>
              <w:t>酒后驾驶</w:t>
            </w:r>
            <w:r>
              <w:rPr>
                <w:rStyle w:val="23"/>
                <w:rFonts w:ascii="黑体" w:hAnsi="宋体" w:eastAsia="黑体"/>
                <w:b/>
                <w:bCs/>
                <w:color w:val="000000" w:themeColor="text1"/>
                <w:shd w:val="clear" w:color="FFFFFF" w:fill="D9D9D9"/>
                <w14:textFill>
                  <w14:solidFill>
                    <w14:schemeClr w14:val="tx1"/>
                  </w14:solidFill>
                </w14:textFill>
              </w:rPr>
              <w:footnoteReference w:id="21"/>
            </w:r>
            <w:r>
              <w:rPr>
                <w:rFonts w:hint="eastAsia" w:ascii="黑体" w:hAnsi="宋体" w:eastAsia="黑体"/>
                <w:b/>
                <w:bCs/>
                <w:color w:val="000000" w:themeColor="text1"/>
                <w:shd w:val="clear" w:color="FFFFFF" w:fill="D9D9D9"/>
                <w14:textFill>
                  <w14:solidFill>
                    <w14:schemeClr w14:val="tx1"/>
                  </w14:solidFill>
                </w14:textFill>
              </w:rPr>
              <w:t>、</w:t>
            </w:r>
            <w:r>
              <w:rPr>
                <w:rFonts w:hint="eastAsia" w:ascii="黑体" w:hAnsi="黑体" w:eastAsia="黑体" w:cs="宋体"/>
                <w:b/>
                <w:shd w:val="clear" w:color="FFFFFF" w:fill="D9D9D9"/>
              </w:rPr>
              <w:t>无合法有效驾驶证驾驶</w:t>
            </w:r>
            <w:r>
              <w:rPr>
                <w:rStyle w:val="23"/>
                <w:rFonts w:ascii="黑体" w:hAnsi="黑体" w:eastAsia="黑体" w:cs="宋体"/>
                <w:b/>
                <w:shd w:val="clear" w:color="FFFFFF" w:fill="D9D9D9"/>
              </w:rPr>
              <w:footnoteReference w:id="22"/>
            </w:r>
            <w:r>
              <w:rPr>
                <w:rFonts w:hint="eastAsia" w:ascii="宋体" w:hAnsi="宋体"/>
                <w:color w:val="000000" w:themeColor="text1"/>
                <w:shd w:val="clear" w:color="FFFFFF" w:fill="D9D9D9"/>
                <w14:textFill>
                  <w14:solidFill>
                    <w14:schemeClr w14:val="tx1"/>
                  </w14:solidFill>
                </w14:textFill>
              </w:rPr>
              <w:t>或</w:t>
            </w:r>
            <w:r>
              <w:rPr>
                <w:rFonts w:hint="eastAsia" w:ascii="黑体" w:hAnsi="黑体" w:eastAsia="黑体" w:cs="宋体"/>
                <w:b/>
                <w:shd w:val="clear" w:color="FFFFFF" w:fill="D9D9D9"/>
              </w:rPr>
              <w:t>驾驶无有效行驶证</w:t>
            </w:r>
            <w:r>
              <w:rPr>
                <w:rFonts w:hint="eastAsia" w:ascii="黑体" w:hAnsi="黑体" w:eastAsia="黑体"/>
                <w:b/>
                <w:color w:val="000000" w:themeColor="text1"/>
                <w:shd w:val="clear" w:color="FFFFFF" w:fill="D9D9D9"/>
                <w14:textFill>
                  <w14:solidFill>
                    <w14:schemeClr w14:val="tx1"/>
                  </w14:solidFill>
                </w14:textFill>
              </w:rPr>
              <w:t>的交通工具</w:t>
            </w:r>
            <w:r>
              <w:rPr>
                <w:rStyle w:val="23"/>
                <w:rFonts w:ascii="黑体" w:hAnsi="黑体" w:eastAsia="黑体"/>
                <w:b/>
                <w:color w:val="000000" w:themeColor="text1"/>
                <w:shd w:val="clear" w:color="FFFFFF" w:fill="D9D9D9"/>
                <w14:textFill>
                  <w14:solidFill>
                    <w14:schemeClr w14:val="tx1"/>
                  </w14:solidFill>
                </w14:textFill>
              </w:rPr>
              <w:footnoteReference w:id="23"/>
            </w:r>
            <w:r>
              <w:rPr>
                <w:rFonts w:hint="eastAsia" w:asciiTheme="minorEastAsia" w:hAnsiTheme="minorEastAsia" w:eastAsiaTheme="minorEastAsia"/>
                <w:bCs/>
                <w:color w:val="000000" w:themeColor="text1"/>
                <w:shd w:val="clear" w:color="FFFFFF" w:fill="D9D9D9"/>
                <w14:textFill>
                  <w14:solidFill>
                    <w14:schemeClr w14:val="tx1"/>
                  </w14:solidFill>
                </w14:textFill>
              </w:rPr>
              <w:t>；</w:t>
            </w:r>
          </w:p>
          <w:p w14:paraId="6D3CEC3C">
            <w:pPr>
              <w:pStyle w:val="35"/>
              <w:numPr>
                <w:ilvl w:val="0"/>
                <w:numId w:val="8"/>
              </w:numPr>
              <w:tabs>
                <w:tab w:val="left" w:pos="696"/>
              </w:tabs>
              <w:ind w:left="-13" w:firstLine="13" w:firstLineChars="0"/>
              <w:rPr>
                <w:rFonts w:ascii="宋体" w:hAnsi="宋体"/>
                <w:color w:val="000000" w:themeColor="text1"/>
                <w:shd w:val="clear" w:color="FFFFFF" w:fill="D9D9D9"/>
                <w14:textFill>
                  <w14:solidFill>
                    <w14:schemeClr w14:val="tx1"/>
                  </w14:solidFill>
                </w14:textFill>
              </w:rPr>
            </w:pPr>
            <w:r>
              <w:rPr>
                <w:rFonts w:hint="eastAsia" w:ascii="宋体" w:hAnsi="宋体"/>
                <w:color w:val="000000" w:themeColor="text1"/>
                <w:shd w:val="clear" w:color="FFFFFF" w:fill="D9D9D9"/>
                <w14:textFill>
                  <w14:solidFill>
                    <w14:schemeClr w14:val="tx1"/>
                  </w14:solidFill>
                </w14:textFill>
              </w:rPr>
              <w:t>核爆炸、核辐射与核污染、</w:t>
            </w:r>
            <w:r>
              <w:rPr>
                <w:rFonts w:ascii="宋体" w:hAnsi="宋体"/>
                <w:color w:val="000000" w:themeColor="text1"/>
                <w:shd w:val="clear" w:color="FFFFFF" w:fill="D9D9D9"/>
                <w14:textFill>
                  <w14:solidFill>
                    <w14:schemeClr w14:val="tx1"/>
                  </w14:solidFill>
                </w14:textFill>
              </w:rPr>
              <w:t>战争、军事</w:t>
            </w:r>
            <w:r>
              <w:rPr>
                <w:rFonts w:hint="eastAsia" w:ascii="宋体" w:hAnsi="宋体"/>
                <w:color w:val="000000" w:themeColor="text1"/>
                <w:shd w:val="clear" w:color="FFFFFF" w:fill="D9D9D9"/>
                <w14:textFill>
                  <w14:solidFill>
                    <w14:schemeClr w14:val="tx1"/>
                  </w14:solidFill>
                </w14:textFill>
              </w:rPr>
              <w:t>冲突</w:t>
            </w:r>
            <w:r>
              <w:rPr>
                <w:rFonts w:ascii="宋体" w:hAnsi="宋体"/>
                <w:color w:val="000000" w:themeColor="text1"/>
                <w:shd w:val="clear" w:color="FFFFFF" w:fill="D9D9D9"/>
                <w14:textFill>
                  <w14:solidFill>
                    <w14:schemeClr w14:val="tx1"/>
                  </w14:solidFill>
                </w14:textFill>
              </w:rPr>
              <w:t>、</w:t>
            </w:r>
            <w:r>
              <w:rPr>
                <w:rFonts w:hint="eastAsia" w:ascii="宋体" w:hAnsi="宋体"/>
                <w:color w:val="000000" w:themeColor="text1"/>
                <w:shd w:val="clear" w:color="FFFFFF" w:fill="D9D9D9"/>
                <w14:textFill>
                  <w14:solidFill>
                    <w14:schemeClr w14:val="tx1"/>
                  </w14:solidFill>
                </w14:textFill>
              </w:rPr>
              <w:t>恐怖袭击、</w:t>
            </w:r>
            <w:r>
              <w:rPr>
                <w:rFonts w:ascii="宋体" w:hAnsi="宋体"/>
                <w:color w:val="000000" w:themeColor="text1"/>
                <w:shd w:val="clear" w:color="FFFFFF" w:fill="D9D9D9"/>
                <w14:textFill>
                  <w14:solidFill>
                    <w14:schemeClr w14:val="tx1"/>
                  </w14:solidFill>
                </w14:textFill>
              </w:rPr>
              <w:t>暴乱或武装叛乱；</w:t>
            </w:r>
          </w:p>
          <w:p w14:paraId="1C739723">
            <w:pPr>
              <w:pStyle w:val="35"/>
              <w:numPr>
                <w:ilvl w:val="0"/>
                <w:numId w:val="8"/>
              </w:numPr>
              <w:tabs>
                <w:tab w:val="left" w:pos="696"/>
              </w:tabs>
              <w:ind w:left="-13" w:firstLine="13" w:firstLineChars="0"/>
              <w:rPr>
                <w:shd w:val="clear" w:color="FFFFFF" w:fill="D9D9D9"/>
              </w:rPr>
            </w:pPr>
            <w:r>
              <w:rPr>
                <w:rFonts w:hint="eastAsia" w:ascii="宋体" w:hAnsi="宋体" w:eastAsia="宋体" w:cs="宋体"/>
                <w:b w:val="0"/>
                <w:bCs/>
                <w:color w:val="000000" w:themeColor="text1"/>
                <w:shd w:val="clear" w:color="FFFFFF" w:fill="D9D9D9"/>
                <w:lang w:val="en-US" w:eastAsia="zh-CN"/>
                <w14:textFill>
                  <w14:solidFill>
                    <w14:schemeClr w14:val="tx1"/>
                  </w14:solidFill>
                </w14:textFill>
              </w:rPr>
              <w:t>除特定疾病以外的</w:t>
            </w:r>
            <w:r>
              <w:rPr>
                <w:rFonts w:hint="eastAsia" w:ascii="黑体" w:hAnsi="宋体" w:eastAsia="黑体"/>
                <w:b/>
                <w:color w:val="000000" w:themeColor="text1"/>
                <w:shd w:val="clear" w:color="FFFFFF" w:fill="D9D9D9"/>
                <w14:textFill>
                  <w14:solidFill>
                    <w14:schemeClr w14:val="tx1"/>
                  </w14:solidFill>
                </w14:textFill>
              </w:rPr>
              <w:t>遗传性疾病</w:t>
            </w:r>
            <w:r>
              <w:rPr>
                <w:rStyle w:val="23"/>
                <w:rFonts w:ascii="黑体" w:hAnsi="宋体" w:eastAsia="黑体"/>
                <w:b/>
                <w:color w:val="000000" w:themeColor="text1"/>
                <w:shd w:val="clear" w:color="FFFFFF" w:fill="D9D9D9"/>
                <w14:textFill>
                  <w14:solidFill>
                    <w14:schemeClr w14:val="tx1"/>
                  </w14:solidFill>
                </w14:textFill>
              </w:rPr>
              <w:footnoteReference w:id="24"/>
            </w:r>
            <w:r>
              <w:rPr>
                <w:rFonts w:hint="eastAsia" w:ascii="宋体" w:hAnsi="宋体" w:cs="宋体"/>
                <w:shd w:val="clear" w:color="FFFFFF" w:fill="D9D9D9"/>
              </w:rPr>
              <w:t>；</w:t>
            </w:r>
          </w:p>
          <w:p w14:paraId="450E4451">
            <w:pPr>
              <w:pStyle w:val="35"/>
              <w:numPr>
                <w:ilvl w:val="0"/>
                <w:numId w:val="8"/>
              </w:numPr>
              <w:tabs>
                <w:tab w:val="left" w:pos="696"/>
              </w:tabs>
              <w:ind w:left="-13" w:firstLine="13" w:firstLineChars="0"/>
              <w:rPr>
                <w:shd w:val="clear" w:color="FFFFFF" w:fill="D9D9D9"/>
              </w:rPr>
            </w:pPr>
            <w:r>
              <w:rPr>
                <w:rFonts w:hint="eastAsia" w:ascii="黑体" w:hAnsi="宋体" w:eastAsia="黑体"/>
                <w:b/>
                <w:color w:val="000000" w:themeColor="text1"/>
                <w:shd w:val="clear" w:color="FFFFFF" w:fill="D9D9D9"/>
                <w14:textFill>
                  <w14:solidFill>
                    <w14:schemeClr w14:val="tx1"/>
                  </w14:solidFill>
                </w14:textFill>
              </w:rPr>
              <w:t>先天性畸形、变形或染色体异常</w:t>
            </w:r>
            <w:r>
              <w:rPr>
                <w:rStyle w:val="23"/>
                <w:rFonts w:ascii="黑体" w:hAnsi="宋体" w:eastAsia="黑体"/>
                <w:b/>
                <w:color w:val="000000" w:themeColor="text1"/>
                <w:shd w:val="clear" w:color="FFFFFF" w:fill="D9D9D9"/>
                <w14:textFill>
                  <w14:solidFill>
                    <w14:schemeClr w14:val="tx1"/>
                  </w14:solidFill>
                </w14:textFill>
              </w:rPr>
              <w:footnoteReference w:id="25"/>
            </w:r>
            <w:r>
              <w:rPr>
                <w:rFonts w:hint="eastAsia" w:asciiTheme="majorEastAsia" w:hAnsiTheme="majorEastAsia" w:eastAsiaTheme="majorEastAsia"/>
                <w:color w:val="000000" w:themeColor="text1"/>
                <w:shd w:val="clear" w:color="FFFFFF" w:fill="D9D9D9"/>
                <w14:textFill>
                  <w14:solidFill>
                    <w14:schemeClr w14:val="tx1"/>
                  </w14:solidFill>
                </w14:textFill>
              </w:rPr>
              <w:t>；</w:t>
            </w:r>
          </w:p>
          <w:p w14:paraId="6252A03C">
            <w:pPr>
              <w:pStyle w:val="35"/>
              <w:numPr>
                <w:ilvl w:val="0"/>
                <w:numId w:val="8"/>
              </w:numPr>
              <w:tabs>
                <w:tab w:val="left" w:pos="696"/>
              </w:tabs>
              <w:ind w:left="-13" w:firstLine="13" w:firstLineChars="0"/>
              <w:rPr>
                <w:shd w:val="clear" w:color="FFFFFF" w:fill="D9D9D9"/>
              </w:rPr>
            </w:pPr>
            <w:r>
              <w:rPr>
                <w:rFonts w:hint="eastAsia" w:ascii="宋体" w:hAnsi="宋体" w:cs="宋体"/>
                <w:shd w:val="pct10" w:color="auto" w:fill="FFFFFF"/>
              </w:rPr>
              <w:t>被保险</w:t>
            </w:r>
            <w:r>
              <w:rPr>
                <w:rFonts w:hint="eastAsia" w:ascii="宋体" w:hAnsi="宋体"/>
                <w:bCs/>
                <w:szCs w:val="21"/>
                <w:shd w:val="pct10" w:color="auto" w:fill="FFFFFF"/>
              </w:rPr>
              <w:t>人感染艾滋病病毒或患艾滋病</w:t>
            </w:r>
            <w:r>
              <w:rPr>
                <w:rFonts w:hint="eastAsia" w:ascii="宋体" w:hAnsi="宋体" w:cs="宋体"/>
                <w:shd w:val="pct10" w:color="auto" w:fill="FFFFFF"/>
              </w:rPr>
              <w:t>；</w:t>
            </w:r>
          </w:p>
          <w:p w14:paraId="46A1B702">
            <w:pPr>
              <w:pStyle w:val="35"/>
              <w:numPr>
                <w:ilvl w:val="0"/>
                <w:numId w:val="8"/>
              </w:numPr>
              <w:tabs>
                <w:tab w:val="left" w:pos="696"/>
              </w:tabs>
              <w:ind w:left="-13" w:firstLine="13" w:firstLineChars="0"/>
              <w:rPr>
                <w:bCs/>
                <w:color w:val="000000" w:themeColor="text1"/>
                <w:szCs w:val="21"/>
                <w:shd w:val="clear" w:color="FFFFFF" w:fill="D9D9D9"/>
                <w14:textFill>
                  <w14:solidFill>
                    <w14:schemeClr w14:val="tx1"/>
                  </w14:solidFill>
                </w14:textFill>
              </w:rPr>
            </w:pPr>
            <w:r>
              <w:rPr>
                <w:rFonts w:hint="eastAsia" w:ascii="宋体" w:hAnsi="宋体"/>
                <w:bCs/>
                <w:szCs w:val="21"/>
                <w:shd w:val="clear" w:color="FFFFFF" w:fill="D9D9D9"/>
              </w:rPr>
              <w:t>被保险人在进行符合以下一项或多项标准的高风险活动过程中发生意外伤害事故导致的</w:t>
            </w:r>
            <w:r>
              <w:rPr>
                <w:rFonts w:hint="eastAsia" w:ascii="宋体" w:hAnsi="宋体"/>
                <w:bCs/>
                <w:szCs w:val="21"/>
                <w:shd w:val="clear" w:color="FFFFFF" w:fill="D9D9D9"/>
                <w:lang w:val="en-US" w:eastAsia="zh-CN"/>
              </w:rPr>
              <w:t>保险事故</w:t>
            </w:r>
            <w:r>
              <w:rPr>
                <w:rFonts w:hint="eastAsia" w:ascii="宋体" w:hAnsi="宋体"/>
                <w:bCs/>
                <w:szCs w:val="21"/>
                <w:shd w:val="clear" w:color="FFFFFF" w:fill="D9D9D9"/>
              </w:rPr>
              <w:t>：</w:t>
            </w:r>
          </w:p>
          <w:p w14:paraId="2C6EB419">
            <w:pPr>
              <w:pStyle w:val="35"/>
              <w:numPr>
                <w:ilvl w:val="0"/>
                <w:numId w:val="9"/>
              </w:numPr>
              <w:tabs>
                <w:tab w:val="left" w:pos="696"/>
              </w:tabs>
              <w:ind w:left="420" w:firstLine="0" w:firstLineChars="0"/>
              <w:rPr>
                <w:bCs/>
                <w:color w:val="000000" w:themeColor="text1"/>
                <w:szCs w:val="21"/>
                <w:shd w:val="clear" w:color="FFFFFF" w:fill="D9D9D9"/>
                <w14:textFill>
                  <w14:solidFill>
                    <w14:schemeClr w14:val="tx1"/>
                  </w14:solidFill>
                </w14:textFill>
              </w:rPr>
            </w:pPr>
            <w:r>
              <w:rPr>
                <w:rFonts w:hint="eastAsia"/>
                <w:bCs/>
                <w:shd w:val="clear" w:color="FFFFFF" w:fill="D9D9D9"/>
              </w:rPr>
              <w:t>活动过程中必然涉及</w:t>
            </w:r>
            <w:r>
              <w:rPr>
                <w:rFonts w:hint="eastAsia" w:ascii="宋体" w:hAnsi="宋体" w:cs="宋体"/>
                <w:bCs/>
                <w:shd w:val="clear" w:color="FFFFFF" w:fill="D9D9D9"/>
              </w:rPr>
              <w:t>2</w:t>
            </w:r>
            <w:r>
              <w:rPr>
                <w:rFonts w:hint="eastAsia"/>
                <w:bCs/>
                <w:shd w:val="clear" w:color="FFFFFF" w:fill="D9D9D9"/>
              </w:rPr>
              <w:t>米以上水深的自然水域水面或水下运动，包括但不限于各类、各级别的</w:t>
            </w:r>
            <w:r>
              <w:rPr>
                <w:rFonts w:hint="eastAsia" w:ascii="黑体" w:hAnsi="黑体" w:eastAsia="黑体"/>
                <w:b/>
                <w:bCs/>
                <w:color w:val="000000" w:themeColor="text1"/>
                <w:szCs w:val="21"/>
                <w:shd w:val="clear" w:color="FFFFFF" w:fill="D9D9D9"/>
                <w14:textFill>
                  <w14:solidFill>
                    <w14:schemeClr w14:val="tx1"/>
                  </w14:solidFill>
                </w14:textFill>
              </w:rPr>
              <w:t>潜水</w:t>
            </w:r>
            <w:r>
              <w:rPr>
                <w:rFonts w:ascii="黑体" w:hAnsi="黑体" w:eastAsia="黑体"/>
                <w:b/>
                <w:color w:val="000000" w:themeColor="text1"/>
                <w:szCs w:val="21"/>
                <w:shd w:val="clear" w:color="FFFFFF" w:fill="D9D9D9"/>
                <w:vertAlign w:val="superscript"/>
                <w14:textFill>
                  <w14:solidFill>
                    <w14:schemeClr w14:val="tx1"/>
                  </w14:solidFill>
                </w14:textFill>
              </w:rPr>
              <w:footnoteReference w:id="26"/>
            </w:r>
            <w:r>
              <w:rPr>
                <w:rFonts w:hint="eastAsia"/>
                <w:bCs/>
                <w:color w:val="000000" w:themeColor="text1"/>
                <w:szCs w:val="21"/>
                <w:shd w:val="clear" w:color="FFFFFF" w:fill="D9D9D9"/>
                <w14:textFill>
                  <w14:solidFill>
                    <w14:schemeClr w14:val="tx1"/>
                  </w14:solidFill>
                </w14:textFill>
              </w:rPr>
              <w:t>、</w:t>
            </w:r>
            <w:r>
              <w:rPr>
                <w:rFonts w:hint="eastAsia"/>
                <w:bCs/>
                <w:shd w:val="clear" w:color="FFFFFF" w:fill="D9D9D9"/>
              </w:rPr>
              <w:t>自然水域游泳（包括人工湖或人工水库）、跳水运动；</w:t>
            </w:r>
          </w:p>
          <w:p w14:paraId="09B9EE3B">
            <w:pPr>
              <w:pStyle w:val="35"/>
              <w:numPr>
                <w:ilvl w:val="0"/>
                <w:numId w:val="9"/>
              </w:numPr>
              <w:tabs>
                <w:tab w:val="left" w:pos="696"/>
              </w:tabs>
              <w:ind w:left="420" w:firstLine="0" w:firstLineChars="0"/>
              <w:rPr>
                <w:rFonts w:hAnsi="宋体"/>
                <w:bCs/>
                <w:color w:val="000000" w:themeColor="text1"/>
                <w:spacing w:val="-4"/>
                <w:szCs w:val="21"/>
                <w:shd w:val="clear" w:color="FFFFFF" w:fill="D9D9D9"/>
                <w14:textFill>
                  <w14:solidFill>
                    <w14:schemeClr w14:val="tx1"/>
                  </w14:solidFill>
                </w14:textFill>
              </w:rPr>
            </w:pPr>
            <w:r>
              <w:rPr>
                <w:rFonts w:hint="eastAsia" w:ascii="宋体" w:hAnsi="宋体"/>
                <w:bCs/>
                <w:shd w:val="clear" w:color="FFFFFF" w:fill="D9D9D9"/>
              </w:rPr>
              <w:t>活动过程中必然涉及距离地面超过10</w:t>
            </w:r>
            <w:r>
              <w:rPr>
                <w:rFonts w:ascii="宋体" w:hAnsi="宋体"/>
                <w:bCs/>
                <w:shd w:val="clear" w:color="FFFFFF" w:fill="D9D9D9"/>
              </w:rPr>
              <w:t>米</w:t>
            </w:r>
            <w:r>
              <w:rPr>
                <w:rFonts w:hint="eastAsia" w:ascii="宋体" w:hAnsi="宋体"/>
                <w:bCs/>
                <w:shd w:val="clear" w:color="FFFFFF" w:fill="D9D9D9"/>
              </w:rPr>
              <w:t>的</w:t>
            </w:r>
            <w:r>
              <w:rPr>
                <w:rFonts w:ascii="宋体" w:hAnsi="宋体"/>
                <w:bCs/>
                <w:shd w:val="clear" w:color="FFFFFF" w:fill="D9D9D9"/>
              </w:rPr>
              <w:t>高空运动，包括但不限于跳伞、蹦极、非商业性的驾驶飞机等飞行器飞行、滑翔机或滑翔伞、翼装飞行、</w:t>
            </w:r>
            <w:r>
              <w:rPr>
                <w:rFonts w:hint="eastAsia" w:ascii="黑体" w:hAnsi="黑体" w:eastAsia="黑体"/>
                <w:b/>
                <w:bCs/>
                <w:color w:val="000000" w:themeColor="text1"/>
                <w:szCs w:val="21"/>
                <w:shd w:val="clear" w:color="FFFFFF" w:fill="D9D9D9"/>
                <w14:textFill>
                  <w14:solidFill>
                    <w14:schemeClr w14:val="tx1"/>
                  </w14:solidFill>
                </w14:textFill>
              </w:rPr>
              <w:t>攀岩</w:t>
            </w:r>
            <w:r>
              <w:rPr>
                <w:rFonts w:ascii="黑体" w:hAnsi="黑体" w:eastAsia="黑体"/>
                <w:b/>
                <w:color w:val="000000" w:themeColor="text1"/>
                <w:szCs w:val="21"/>
                <w:shd w:val="clear" w:color="FFFFFF" w:fill="D9D9D9"/>
                <w:vertAlign w:val="superscript"/>
                <w14:textFill>
                  <w14:solidFill>
                    <w14:schemeClr w14:val="tx1"/>
                  </w14:solidFill>
                </w14:textFill>
              </w:rPr>
              <w:footnoteReference w:id="27"/>
            </w:r>
            <w:r>
              <w:rPr>
                <w:rFonts w:hint="eastAsia" w:hAnsi="宋体"/>
                <w:bCs/>
                <w:color w:val="000000" w:themeColor="text1"/>
                <w:spacing w:val="-4"/>
                <w:szCs w:val="21"/>
                <w:shd w:val="clear" w:color="FFFFFF" w:fill="D9D9D9"/>
                <w14:textFill>
                  <w14:solidFill>
                    <w14:schemeClr w14:val="tx1"/>
                  </w14:solidFill>
                </w14:textFill>
              </w:rPr>
              <w:t>等；</w:t>
            </w:r>
          </w:p>
          <w:p w14:paraId="2B33653A">
            <w:pPr>
              <w:pStyle w:val="35"/>
              <w:numPr>
                <w:ilvl w:val="0"/>
                <w:numId w:val="9"/>
              </w:numPr>
              <w:tabs>
                <w:tab w:val="left" w:pos="696"/>
              </w:tabs>
              <w:ind w:left="420" w:firstLine="0" w:firstLineChars="0"/>
              <w:rPr>
                <w:rFonts w:ascii="宋体" w:hAnsi="宋体"/>
                <w:bCs/>
                <w:shd w:val="clear" w:color="FFFFFF" w:fill="D9D9D9"/>
              </w:rPr>
            </w:pPr>
            <w:r>
              <w:rPr>
                <w:rFonts w:hint="eastAsia" w:ascii="宋体" w:hAnsi="宋体"/>
                <w:bCs/>
                <w:shd w:val="clear" w:color="FFFFFF" w:fill="D9D9D9"/>
              </w:rPr>
              <w:t>故意进入一般认知中存在生命危险的环境中或进入未经人工开发的自然区域活动，包括但不限于各类</w:t>
            </w:r>
            <w:r>
              <w:rPr>
                <w:rFonts w:hint="eastAsia" w:ascii="黑体" w:hAnsi="黑体" w:eastAsia="黑体"/>
                <w:b/>
                <w:bCs/>
                <w:color w:val="000000" w:themeColor="text1"/>
                <w:spacing w:val="-4"/>
                <w:szCs w:val="21"/>
                <w:shd w:val="clear" w:color="FFFFFF" w:fill="D9D9D9"/>
                <w14:textFill>
                  <w14:solidFill>
                    <w14:schemeClr w14:val="tx1"/>
                  </w14:solidFill>
                </w14:textFill>
              </w:rPr>
              <w:t>探险</w:t>
            </w:r>
            <w:r>
              <w:rPr>
                <w:rFonts w:ascii="黑体" w:hAnsi="黑体" w:eastAsia="黑体"/>
                <w:b/>
                <w:color w:val="000000" w:themeColor="text1"/>
                <w:szCs w:val="21"/>
                <w:shd w:val="clear" w:color="FFFFFF" w:fill="D9D9D9"/>
                <w:vertAlign w:val="superscript"/>
                <w14:textFill>
                  <w14:solidFill>
                    <w14:schemeClr w14:val="tx1"/>
                  </w14:solidFill>
                </w14:textFill>
              </w:rPr>
              <w:footnoteReference w:id="28"/>
            </w:r>
            <w:r>
              <w:rPr>
                <w:rFonts w:hint="eastAsia" w:ascii="宋体" w:hAnsi="宋体"/>
                <w:bCs/>
                <w:shd w:val="clear" w:color="FFFFFF" w:fill="D9D9D9"/>
              </w:rPr>
              <w:t>和除商业航线飞行外的航空航天活动；</w:t>
            </w:r>
          </w:p>
          <w:p w14:paraId="1827C348">
            <w:pPr>
              <w:pStyle w:val="35"/>
              <w:numPr>
                <w:ilvl w:val="0"/>
                <w:numId w:val="9"/>
              </w:numPr>
              <w:tabs>
                <w:tab w:val="left" w:pos="696"/>
              </w:tabs>
              <w:ind w:left="420" w:firstLine="0" w:firstLineChars="0"/>
              <w:rPr>
                <w:rFonts w:hAnsi="宋体"/>
                <w:bCs/>
                <w:color w:val="000000" w:themeColor="text1"/>
                <w:szCs w:val="21"/>
                <w:shd w:val="clear" w:color="FFFFFF" w:fill="D9D9D9"/>
                <w14:textFill>
                  <w14:solidFill>
                    <w14:schemeClr w14:val="tx1"/>
                  </w14:solidFill>
                </w14:textFill>
              </w:rPr>
            </w:pPr>
            <w:r>
              <w:rPr>
                <w:rFonts w:hint="eastAsia" w:ascii="宋体" w:hAnsi="宋体"/>
                <w:bCs/>
                <w:shd w:val="clear" w:color="FFFFFF" w:fill="D9D9D9"/>
              </w:rPr>
              <w:t>各类搏击或类军事活动，如</w:t>
            </w:r>
            <w:r>
              <w:rPr>
                <w:rFonts w:hint="eastAsia" w:hAnsi="宋体"/>
                <w:bCs/>
                <w:color w:val="000000" w:themeColor="text1"/>
                <w:szCs w:val="21"/>
                <w:shd w:val="clear" w:color="FFFFFF" w:fill="D9D9D9"/>
                <w14:textFill>
                  <w14:solidFill>
                    <w14:schemeClr w14:val="tx1"/>
                  </w14:solidFill>
                </w14:textFill>
              </w:rPr>
              <w:t>摔跤、</w:t>
            </w:r>
            <w:r>
              <w:rPr>
                <w:rFonts w:hint="eastAsia" w:ascii="黑体" w:hAnsi="黑体" w:eastAsia="黑体"/>
                <w:b/>
                <w:bCs/>
                <w:color w:val="000000" w:themeColor="text1"/>
                <w:szCs w:val="21"/>
                <w:shd w:val="clear" w:color="FFFFFF" w:fill="D9D9D9"/>
                <w14:textFill>
                  <w14:solidFill>
                    <w14:schemeClr w14:val="tx1"/>
                  </w14:solidFill>
                </w14:textFill>
              </w:rPr>
              <w:t>武术比赛</w:t>
            </w:r>
            <w:r>
              <w:rPr>
                <w:rFonts w:ascii="黑体" w:hAnsi="黑体" w:eastAsia="黑体"/>
                <w:b/>
                <w:color w:val="000000" w:themeColor="text1"/>
                <w:szCs w:val="21"/>
                <w:shd w:val="clear" w:color="FFFFFF" w:fill="D9D9D9"/>
                <w:vertAlign w:val="superscript"/>
                <w14:textFill>
                  <w14:solidFill>
                    <w14:schemeClr w14:val="tx1"/>
                  </w14:solidFill>
                </w14:textFill>
              </w:rPr>
              <w:footnoteReference w:id="29"/>
            </w:r>
            <w:r>
              <w:rPr>
                <w:rFonts w:hint="eastAsia" w:hAnsi="宋体"/>
                <w:bCs/>
                <w:color w:val="000000" w:themeColor="text1"/>
                <w:szCs w:val="21"/>
                <w:shd w:val="clear" w:color="FFFFFF" w:fill="D9D9D9"/>
                <w14:textFill>
                  <w14:solidFill>
                    <w14:schemeClr w14:val="tx1"/>
                  </w14:solidFill>
                </w14:textFill>
              </w:rPr>
              <w:t>、</w:t>
            </w:r>
            <w:r>
              <w:rPr>
                <w:rFonts w:hint="eastAsia" w:ascii="宋体" w:hAnsi="宋体"/>
                <w:bCs/>
                <w:shd w:val="clear" w:color="FFFFFF" w:fill="D9D9D9"/>
              </w:rPr>
              <w:t>彩弹射击等仿真枪战运动；</w:t>
            </w:r>
          </w:p>
          <w:p w14:paraId="3CA5D6EC">
            <w:pPr>
              <w:pStyle w:val="35"/>
              <w:numPr>
                <w:ilvl w:val="0"/>
                <w:numId w:val="9"/>
              </w:numPr>
              <w:tabs>
                <w:tab w:val="left" w:pos="696"/>
              </w:tabs>
              <w:ind w:left="420" w:firstLine="0" w:firstLineChars="0"/>
              <w:rPr>
                <w:rFonts w:hAnsi="宋体"/>
                <w:bCs/>
                <w:color w:val="000000" w:themeColor="text1"/>
                <w:szCs w:val="21"/>
                <w:shd w:val="clear" w:color="FFFFFF" w:fill="D9D9D9"/>
                <w14:textFill>
                  <w14:solidFill>
                    <w14:schemeClr w14:val="tx1"/>
                  </w14:solidFill>
                </w14:textFill>
              </w:rPr>
            </w:pPr>
            <w:r>
              <w:rPr>
                <w:rFonts w:hint="eastAsia" w:ascii="宋体" w:hAnsi="宋体"/>
                <w:bCs/>
                <w:shd w:val="clear" w:color="FFFFFF" w:fill="D9D9D9"/>
              </w:rPr>
              <w:t>各类</w:t>
            </w:r>
            <w:r>
              <w:rPr>
                <w:rFonts w:hint="eastAsia" w:ascii="黑体" w:hAnsi="黑体" w:eastAsia="黑体"/>
                <w:b/>
                <w:bCs/>
                <w:color w:val="000000" w:themeColor="text1"/>
                <w:szCs w:val="21"/>
                <w:shd w:val="clear" w:color="FFFFFF" w:fill="D9D9D9"/>
                <w14:textFill>
                  <w14:solidFill>
                    <w14:schemeClr w14:val="tx1"/>
                  </w14:solidFill>
                </w14:textFill>
              </w:rPr>
              <w:t>特技表演</w:t>
            </w:r>
            <w:r>
              <w:rPr>
                <w:rFonts w:ascii="黑体" w:hAnsi="黑体" w:eastAsia="黑体"/>
                <w:b/>
                <w:color w:val="000000" w:themeColor="text1"/>
                <w:szCs w:val="21"/>
                <w:shd w:val="clear" w:color="FFFFFF" w:fill="D9D9D9"/>
                <w:vertAlign w:val="superscript"/>
                <w14:textFill>
                  <w14:solidFill>
                    <w14:schemeClr w14:val="tx1"/>
                  </w14:solidFill>
                </w14:textFill>
              </w:rPr>
              <w:footnoteReference w:id="30"/>
            </w:r>
            <w:r>
              <w:rPr>
                <w:rFonts w:hint="eastAsia" w:ascii="黑体" w:hAnsi="黑体" w:eastAsia="黑体"/>
                <w:bCs/>
                <w:color w:val="000000" w:themeColor="text1"/>
                <w:szCs w:val="21"/>
                <w:shd w:val="clear" w:color="FFFFFF" w:fill="D9D9D9"/>
                <w14:textFill>
                  <w14:solidFill>
                    <w14:schemeClr w14:val="tx1"/>
                  </w14:solidFill>
                </w14:textFill>
              </w:rPr>
              <w:t>；</w:t>
            </w:r>
          </w:p>
          <w:p w14:paraId="0061A4EE">
            <w:pPr>
              <w:pStyle w:val="35"/>
              <w:numPr>
                <w:ilvl w:val="0"/>
                <w:numId w:val="9"/>
              </w:numPr>
              <w:tabs>
                <w:tab w:val="left" w:pos="696"/>
              </w:tabs>
              <w:ind w:left="420" w:firstLine="0" w:firstLineChars="0"/>
              <w:rPr>
                <w:rFonts w:hint="eastAsia" w:ascii="宋体" w:hAnsi="Calibri" w:cs="宋体"/>
                <w:kern w:val="0"/>
                <w:szCs w:val="21"/>
                <w:shd w:val="clear" w:color="FFFFFF" w:fill="D9D9D9"/>
              </w:rPr>
            </w:pPr>
            <w:r>
              <w:rPr>
                <w:rFonts w:hint="eastAsia" w:ascii="宋体" w:hAnsi="宋体"/>
                <w:bCs/>
                <w:shd w:val="clear" w:color="FFFFFF" w:fill="D9D9D9"/>
              </w:rPr>
              <w:t>除竞走、跑步以外的竞速运动如</w:t>
            </w:r>
            <w:r>
              <w:rPr>
                <w:rFonts w:hint="eastAsia" w:hAnsi="宋体"/>
                <w:bCs/>
                <w:color w:val="000000" w:themeColor="text1"/>
                <w:szCs w:val="21"/>
                <w:shd w:val="clear" w:color="FFFFFF" w:fill="D9D9D9"/>
                <w14:textFill>
                  <w14:solidFill>
                    <w14:schemeClr w14:val="tx1"/>
                  </w14:solidFill>
                </w14:textFill>
              </w:rPr>
              <w:t>赛马、赛车、竞速冰雪运动等</w:t>
            </w:r>
            <w:r>
              <w:rPr>
                <w:rFonts w:hint="eastAsia" w:hAnsi="宋体"/>
                <w:bCs/>
                <w:color w:val="000000" w:themeColor="text1"/>
                <w:szCs w:val="21"/>
                <w:shd w:val="clear" w:color="FFFFFF" w:fill="D9D9D9"/>
                <w:lang w:eastAsia="zh-CN"/>
                <w14:textFill>
                  <w14:solidFill>
                    <w14:schemeClr w14:val="tx1"/>
                  </w14:solidFill>
                </w14:textFill>
              </w:rPr>
              <w:t>。</w:t>
            </w:r>
          </w:p>
          <w:p w14:paraId="07F1C51D">
            <w:pPr>
              <w:pStyle w:val="35"/>
              <w:numPr>
                <w:ilvl w:val="-1"/>
                <w:numId w:val="0"/>
              </w:numPr>
              <w:tabs>
                <w:tab w:val="left" w:pos="696"/>
              </w:tabs>
              <w:ind w:left="0" w:firstLine="0" w:firstLineChars="0"/>
              <w:rPr>
                <w:rFonts w:hint="eastAsia" w:ascii="宋体" w:hAnsi="Calibri" w:cs="宋体"/>
                <w:kern w:val="0"/>
                <w:szCs w:val="21"/>
                <w:shd w:val="clear" w:color="FFFFFF" w:fill="D9D9D9"/>
              </w:rPr>
            </w:pPr>
            <w:r>
              <w:rPr>
                <w:rFonts w:hint="eastAsia" w:ascii="宋体" w:hAnsi="Calibri" w:cs="宋体"/>
                <w:kern w:val="0"/>
                <w:szCs w:val="21"/>
                <w:shd w:val="clear" w:color="FFFFFF" w:fill="D9D9D9"/>
              </w:rPr>
              <w:t>发生上述第（1）项情形导致被保险人发生</w:t>
            </w:r>
            <w:r>
              <w:rPr>
                <w:rFonts w:hint="eastAsia"/>
                <w:color w:val="000000" w:themeColor="text1"/>
                <w:shd w:val="clear" w:color="FFFFFF" w:fill="D9D9D9"/>
                <w:lang w:val="en-US" w:eastAsia="zh-CN"/>
                <w14:textFill>
                  <w14:solidFill>
                    <w14:schemeClr w14:val="tx1"/>
                  </w14:solidFill>
                </w14:textFill>
              </w:rPr>
              <w:t>特定疾病确诊、身故</w:t>
            </w:r>
            <w:r>
              <w:rPr>
                <w:rFonts w:hint="eastAsia" w:ascii="宋体" w:cs="宋体"/>
                <w:kern w:val="0"/>
                <w:szCs w:val="21"/>
                <w:shd w:val="clear" w:color="FFFFFF" w:fill="D9D9D9"/>
                <w:lang w:val="en-US" w:eastAsia="zh-CN"/>
              </w:rPr>
              <w:t>或造成医疗费用支出的</w:t>
            </w:r>
            <w:r>
              <w:rPr>
                <w:rFonts w:hint="eastAsia" w:ascii="宋体" w:hAnsi="Calibri" w:cs="宋体"/>
                <w:kern w:val="0"/>
                <w:szCs w:val="21"/>
                <w:shd w:val="clear" w:color="FFFFFF" w:fill="D9D9D9"/>
              </w:rPr>
              <w:t>，本主险合同终止，我们向除投保人之外的受益人退还本主险合同的现金价值。</w:t>
            </w:r>
          </w:p>
          <w:p w14:paraId="122A8304">
            <w:pPr>
              <w:pStyle w:val="35"/>
              <w:numPr>
                <w:ilvl w:val="-1"/>
                <w:numId w:val="0"/>
              </w:numPr>
              <w:tabs>
                <w:tab w:val="left" w:pos="696"/>
              </w:tabs>
              <w:ind w:left="0" w:firstLine="0" w:firstLineChars="0"/>
              <w:rPr>
                <w:rFonts w:hint="eastAsia" w:ascii="宋体" w:hAnsi="Calibri" w:cs="宋体"/>
                <w:kern w:val="0"/>
                <w:szCs w:val="21"/>
                <w:shd w:val="clear" w:color="FFFFFF" w:fill="D9D9D9"/>
                <w:lang w:eastAsia="zh-CN"/>
              </w:rPr>
            </w:pPr>
            <w:r>
              <w:rPr>
                <w:rFonts w:hint="eastAsia" w:ascii="宋体" w:hAnsi="Calibri" w:cs="宋体"/>
                <w:kern w:val="0"/>
                <w:szCs w:val="21"/>
                <w:shd w:val="clear" w:color="FFFFFF" w:fill="D9D9D9"/>
              </w:rPr>
              <w:t>发生上述第（2）至（</w:t>
            </w:r>
            <w:r>
              <w:rPr>
                <w:rFonts w:hint="eastAsia" w:ascii="宋体" w:cs="宋体"/>
                <w:kern w:val="0"/>
                <w:szCs w:val="21"/>
                <w:shd w:val="clear" w:color="FFFFFF" w:fill="D9D9D9"/>
                <w:lang w:val="en-US" w:eastAsia="zh-CN"/>
              </w:rPr>
              <w:t>10</w:t>
            </w:r>
            <w:r>
              <w:rPr>
                <w:rFonts w:hint="eastAsia" w:ascii="宋体" w:hAnsi="Calibri" w:cs="宋体"/>
                <w:kern w:val="0"/>
                <w:szCs w:val="21"/>
                <w:shd w:val="clear" w:color="FFFFFF" w:fill="D9D9D9"/>
              </w:rPr>
              <w:t>）项情形导致被保险人</w:t>
            </w:r>
            <w:r>
              <w:rPr>
                <w:rFonts w:hint="eastAsia" w:ascii="宋体" w:cs="宋体"/>
                <w:kern w:val="0"/>
                <w:szCs w:val="21"/>
                <w:shd w:val="clear" w:color="FFFFFF" w:fill="D9D9D9"/>
                <w:lang w:val="en-US" w:eastAsia="zh-CN"/>
              </w:rPr>
              <w:t>发生</w:t>
            </w:r>
            <w:r>
              <w:rPr>
                <w:rFonts w:hint="eastAsia"/>
                <w:color w:val="000000" w:themeColor="text1"/>
                <w:shd w:val="clear" w:color="FFFFFF" w:fill="D9D9D9"/>
                <w:lang w:val="en-US" w:eastAsia="zh-CN"/>
                <w14:textFill>
                  <w14:solidFill>
                    <w14:schemeClr w14:val="tx1"/>
                  </w14:solidFill>
                </w14:textFill>
              </w:rPr>
              <w:t>特定疾病确诊或身故 的</w:t>
            </w:r>
            <w:r>
              <w:rPr>
                <w:rFonts w:hint="eastAsia" w:ascii="宋体" w:hAnsi="Calibri" w:cs="宋体"/>
                <w:kern w:val="0"/>
                <w:szCs w:val="21"/>
                <w:shd w:val="clear" w:color="FFFFFF" w:fill="D9D9D9"/>
              </w:rPr>
              <w:t>，本主险合同终止，我们向您退还本主险合同的现金价值。</w:t>
            </w:r>
          </w:p>
          <w:p w14:paraId="1EA84D60">
            <w:pPr>
              <w:pStyle w:val="35"/>
              <w:numPr>
                <w:ilvl w:val="-1"/>
                <w:numId w:val="0"/>
              </w:numPr>
              <w:tabs>
                <w:tab w:val="left" w:pos="696"/>
              </w:tabs>
              <w:ind w:left="0" w:leftChars="0" w:firstLine="0" w:firstLineChars="0"/>
              <w:rPr>
                <w:rFonts w:hint="eastAsia" w:ascii="宋体" w:hAnsi="宋体"/>
                <w:bCs/>
                <w:shd w:val="clear" w:color="FFFFFF" w:fill="D9D9D9"/>
              </w:rPr>
            </w:pPr>
          </w:p>
          <w:p w14:paraId="68AEB233">
            <w:pPr>
              <w:pStyle w:val="35"/>
              <w:numPr>
                <w:ilvl w:val="-1"/>
                <w:numId w:val="0"/>
              </w:numPr>
              <w:tabs>
                <w:tab w:val="left" w:pos="696"/>
              </w:tabs>
              <w:ind w:left="0" w:leftChars="0" w:firstLine="0" w:firstLineChars="0"/>
              <w:rPr>
                <w:rFonts w:ascii="宋体" w:hAnsi="宋体"/>
                <w:bCs/>
                <w:shd w:val="clear" w:color="FFFFFF" w:fill="D9D9D9"/>
              </w:rPr>
            </w:pPr>
            <w:r>
              <w:rPr>
                <w:rFonts w:hint="eastAsia" w:ascii="宋体" w:hAnsi="宋体"/>
                <w:bCs/>
                <w:shd w:val="clear" w:color="FFFFFF" w:fill="D9D9D9"/>
                <w:lang w:val="en-US" w:eastAsia="zh-CN"/>
              </w:rPr>
              <w:t>2.</w:t>
            </w:r>
            <w:r>
              <w:rPr>
                <w:rFonts w:hint="eastAsia" w:ascii="宋体" w:hAnsi="宋体"/>
                <w:bCs/>
                <w:shd w:val="clear" w:color="FFFFFF" w:fill="D9D9D9"/>
              </w:rPr>
              <w:t>符合以下任意一项情形的相关医疗费用，我们不承担</w:t>
            </w:r>
            <w:r>
              <w:rPr>
                <w:rFonts w:hint="eastAsia" w:ascii="宋体" w:hAnsi="宋体"/>
                <w:bCs/>
                <w:shd w:val="clear" w:color="FFFFFF" w:fill="D9D9D9"/>
                <w:lang w:val="en-US" w:eastAsia="zh-CN"/>
              </w:rPr>
              <w:t>一般医疗</w:t>
            </w:r>
            <w:r>
              <w:rPr>
                <w:rFonts w:hint="eastAsia" w:ascii="宋体" w:hAnsi="宋体"/>
                <w:bCs/>
                <w:shd w:val="clear" w:color="FFFFFF" w:fill="D9D9D9"/>
              </w:rPr>
              <w:t>保险</w:t>
            </w:r>
            <w:r>
              <w:rPr>
                <w:rFonts w:hint="eastAsia" w:ascii="宋体" w:hAnsi="宋体"/>
                <w:bCs/>
                <w:shd w:val="clear" w:color="FFFFFF" w:fill="D9D9D9"/>
                <w:lang w:val="en-US" w:eastAsia="zh-CN"/>
              </w:rPr>
              <w:t>金</w:t>
            </w:r>
            <w:r>
              <w:rPr>
                <w:rFonts w:hint="eastAsia" w:ascii="宋体" w:hAnsi="宋体"/>
                <w:bCs/>
                <w:shd w:val="clear" w:color="FFFFFF" w:fill="D9D9D9"/>
              </w:rPr>
              <w:t>责任：</w:t>
            </w:r>
          </w:p>
          <w:p w14:paraId="2AAE6F46">
            <w:pPr>
              <w:pStyle w:val="35"/>
              <w:numPr>
                <w:ilvl w:val="0"/>
                <w:numId w:val="10"/>
              </w:numPr>
              <w:tabs>
                <w:tab w:val="left" w:pos="696"/>
              </w:tabs>
              <w:ind w:left="-13" w:firstLine="13" w:firstLineChars="0"/>
              <w:rPr>
                <w:rFonts w:ascii="宋体" w:hAnsi="宋体"/>
                <w:bCs/>
                <w:szCs w:val="21"/>
                <w:shd w:val="clear" w:color="FFFFFF" w:fill="D9D9D9"/>
              </w:rPr>
            </w:pPr>
            <w:r>
              <w:rPr>
                <w:rFonts w:hint="eastAsia" w:ascii="宋体" w:hAnsi="宋体"/>
                <w:bCs/>
                <w:szCs w:val="21"/>
                <w:shd w:val="clear" w:color="FFFFFF" w:fill="D9D9D9"/>
              </w:rPr>
              <w:t>冒名住院、被保险人未到达医院就诊即代诊、不符合入院标准、挂床住院或住院病人应当出院而拒不出院（从医院确定出院之日起发生的一切医疗费用）；</w:t>
            </w:r>
          </w:p>
          <w:p w14:paraId="5D67B4AA">
            <w:pPr>
              <w:pStyle w:val="35"/>
              <w:numPr>
                <w:ilvl w:val="0"/>
                <w:numId w:val="10"/>
              </w:numPr>
              <w:tabs>
                <w:tab w:val="left" w:pos="696"/>
              </w:tabs>
              <w:ind w:left="-13" w:firstLine="13" w:firstLineChars="0"/>
              <w:rPr>
                <w:rFonts w:ascii="宋体" w:hAnsi="宋体"/>
                <w:bCs/>
                <w:shd w:val="clear" w:color="FFFFFF" w:fill="D9D9D9"/>
              </w:rPr>
            </w:pPr>
            <w:r>
              <w:rPr>
                <w:rFonts w:hint="eastAsia" w:ascii="宋体" w:hAnsi="宋体"/>
                <w:bCs/>
                <w:szCs w:val="21"/>
                <w:shd w:val="clear" w:color="FFFFFF" w:fill="D9D9D9"/>
              </w:rPr>
              <w:t>被保险人接受实验性治疗（未经科学或医学认可的医疗）</w:t>
            </w:r>
            <w:r>
              <w:rPr>
                <w:rFonts w:hint="eastAsia" w:ascii="宋体" w:hAnsi="宋体"/>
                <w:bCs/>
                <w:szCs w:val="21"/>
                <w:shd w:val="clear" w:color="FFFFFF" w:fill="D9D9D9"/>
                <w:lang w:eastAsia="zh-CN"/>
              </w:rPr>
              <w:t>；</w:t>
            </w:r>
          </w:p>
          <w:p w14:paraId="4F4BAB68">
            <w:pPr>
              <w:pStyle w:val="35"/>
              <w:numPr>
                <w:ilvl w:val="0"/>
                <w:numId w:val="10"/>
              </w:numPr>
              <w:tabs>
                <w:tab w:val="left" w:pos="696"/>
              </w:tabs>
              <w:ind w:left="-13" w:firstLine="13" w:firstLineChars="0"/>
              <w:rPr>
                <w:rFonts w:ascii="宋体" w:hAnsi="宋体"/>
                <w:bCs/>
                <w:shd w:val="clear" w:color="FFFFFF" w:fill="D9D9D9"/>
              </w:rPr>
            </w:pPr>
            <w:r>
              <w:rPr>
                <w:rFonts w:hint="eastAsia" w:ascii="宋体" w:hAnsi="宋体"/>
                <w:bCs/>
                <w:shd w:val="clear" w:color="FFFFFF" w:fill="D9D9D9"/>
              </w:rPr>
              <w:t>未经医生建议自行进行的任何治疗或未经医生处方自行购买的药品；</w:t>
            </w:r>
          </w:p>
          <w:p w14:paraId="43579498">
            <w:pPr>
              <w:pStyle w:val="35"/>
              <w:numPr>
                <w:ilvl w:val="0"/>
                <w:numId w:val="10"/>
              </w:numPr>
              <w:tabs>
                <w:tab w:val="left" w:pos="696"/>
              </w:tabs>
              <w:ind w:left="-13" w:firstLine="13" w:firstLineChars="0"/>
              <w:rPr>
                <w:shd w:val="clear" w:color="FFFFFF" w:fill="D9D9D9"/>
              </w:rPr>
            </w:pPr>
            <w:r>
              <w:rPr>
                <w:rFonts w:hint="eastAsia" w:ascii="宋体" w:hAnsi="宋体"/>
                <w:bCs/>
                <w:szCs w:val="21"/>
                <w:shd w:val="clear" w:color="FFFFFF" w:fill="D9D9D9"/>
              </w:rPr>
              <w:t>未被治疗所在地权威部门批准的治疗，未获得治疗所在地政府许可或批准的药品或药物；</w:t>
            </w:r>
          </w:p>
          <w:p w14:paraId="133955CD">
            <w:pPr>
              <w:pStyle w:val="35"/>
              <w:numPr>
                <w:ilvl w:val="0"/>
                <w:numId w:val="10"/>
              </w:numPr>
              <w:tabs>
                <w:tab w:val="left" w:pos="696"/>
              </w:tabs>
              <w:ind w:left="-13" w:firstLine="13" w:firstLineChars="0"/>
              <w:rPr>
                <w:rFonts w:hint="eastAsia" w:ascii="宋体" w:hAnsi="Calibri" w:eastAsia="宋体" w:cs="宋体"/>
                <w:b w:val="0"/>
                <w:kern w:val="0"/>
                <w:szCs w:val="21"/>
                <w:shd w:val="clear" w:color="FFFFFF" w:fill="D9D9D9"/>
                <w:lang w:val="en-US" w:eastAsia="zh-CN"/>
              </w:rPr>
            </w:pPr>
            <w:r>
              <w:rPr>
                <w:rFonts w:hint="eastAsia" w:ascii="宋体" w:hAnsi="宋体" w:eastAsia="宋体"/>
                <w:bCs/>
                <w:color w:val="auto"/>
                <w:sz w:val="21"/>
                <w:szCs w:val="21"/>
                <w:shd w:val="clear" w:color="FFFFFF" w:fill="D9D9D9"/>
                <w:lang w:val="en-US"/>
              </w:rPr>
              <w:t>美容、整容费用，丰胸或缩胸手术及其并发症治疗及其他相关费用</w:t>
            </w:r>
            <w:r>
              <w:rPr>
                <w:rFonts w:hint="eastAsia" w:ascii="宋体" w:hAnsi="宋体" w:eastAsia="宋体"/>
                <w:bCs/>
                <w:color w:val="auto"/>
                <w:sz w:val="21"/>
                <w:szCs w:val="21"/>
                <w:shd w:val="clear" w:color="auto" w:fill="auto"/>
                <w:lang w:val="en-US"/>
              </w:rPr>
              <w:t>，</w:t>
            </w:r>
            <w:r>
              <w:rPr>
                <w:rFonts w:hint="eastAsia" w:ascii="宋体" w:hAnsi="宋体"/>
                <w:bCs/>
                <w:sz w:val="21"/>
                <w:szCs w:val="21"/>
                <w:shd w:val="clear" w:color="auto" w:fill="auto"/>
                <w:lang w:val="en-US" w:eastAsia="zh-CN"/>
              </w:rPr>
              <w:t>但</w:t>
            </w:r>
            <w:r>
              <w:rPr>
                <w:rFonts w:hint="eastAsia" w:ascii="宋体" w:hAnsi="宋体" w:eastAsia="宋体"/>
                <w:bCs/>
                <w:color w:val="auto"/>
                <w:sz w:val="21"/>
                <w:szCs w:val="21"/>
                <w:shd w:val="clear" w:color="auto" w:fill="auto"/>
                <w:lang w:val="en-US"/>
              </w:rPr>
              <w:t>因治疗疾病或意外伤害而产生的上述费用</w:t>
            </w:r>
            <w:r>
              <w:rPr>
                <w:rFonts w:hint="eastAsia" w:ascii="宋体" w:hAnsi="宋体"/>
                <w:bCs/>
                <w:sz w:val="21"/>
                <w:szCs w:val="21"/>
                <w:shd w:val="clear" w:color="auto" w:fill="auto"/>
                <w:lang w:val="en-US" w:eastAsia="zh-CN"/>
              </w:rPr>
              <w:t>不受此限</w:t>
            </w:r>
            <w:r>
              <w:rPr>
                <w:rFonts w:hint="eastAsia" w:ascii="宋体" w:hAnsi="宋体" w:eastAsia="宋体"/>
                <w:bCs/>
                <w:color w:val="auto"/>
                <w:sz w:val="21"/>
                <w:szCs w:val="21"/>
                <w:shd w:val="clear" w:color="auto" w:fill="auto"/>
                <w:lang w:val="en-US"/>
              </w:rPr>
              <w:t>；</w:t>
            </w:r>
          </w:p>
          <w:p w14:paraId="290CCA10">
            <w:pPr>
              <w:pStyle w:val="35"/>
              <w:numPr>
                <w:ilvl w:val="0"/>
                <w:numId w:val="10"/>
              </w:numPr>
              <w:tabs>
                <w:tab w:val="left" w:pos="696"/>
              </w:tabs>
              <w:ind w:left="-13" w:leftChars="0" w:firstLine="13" w:firstLineChars="0"/>
              <w:rPr>
                <w:rFonts w:hint="default" w:ascii="宋体" w:hAnsi="宋体" w:eastAsia="宋体" w:cs="Times New Roman"/>
                <w:bCs/>
                <w:kern w:val="2"/>
                <w:sz w:val="21"/>
                <w:szCs w:val="22"/>
                <w:shd w:val="clear" w:color="FFFFFF" w:fill="D9D9D9"/>
                <w:lang w:val="en-US" w:eastAsia="zh-CN" w:bidi="ar-SA"/>
              </w:rPr>
            </w:pPr>
            <w:r>
              <w:rPr>
                <w:rFonts w:hint="eastAsia" w:ascii="宋体" w:hAnsi="宋体" w:eastAsia="宋体"/>
                <w:bCs/>
                <w:sz w:val="21"/>
                <w:szCs w:val="21"/>
                <w:shd w:val="clear" w:color="FFFFFF" w:fill="D9D9D9"/>
                <w:lang w:val="en-US"/>
              </w:rPr>
              <w:t>保健品、膳食补充剂、药妆、戒烟药物、食欲抑制剂、头发再生药物、抗光老化药物、美容用品、大剂量维生素、维他命、</w:t>
            </w:r>
            <w:r>
              <w:rPr>
                <w:rFonts w:hint="eastAsia" w:ascii="黑体" w:hAnsi="黑体" w:eastAsia="黑体" w:cs="黑体"/>
                <w:b/>
                <w:bCs w:val="0"/>
                <w:sz w:val="21"/>
                <w:szCs w:val="21"/>
                <w:shd w:val="clear" w:color="FFFFFF" w:fill="D9D9D9"/>
                <w:lang w:val="en-US"/>
              </w:rPr>
              <w:t>滋补类中草药</w:t>
            </w:r>
            <w:r>
              <w:rPr>
                <w:rFonts w:ascii="黑体" w:hAnsi="黑体" w:eastAsia="黑体"/>
                <w:b/>
                <w:color w:val="000000" w:themeColor="text1"/>
                <w:kern w:val="2"/>
                <w:szCs w:val="21"/>
                <w:shd w:val="clear" w:color="FFFFFF" w:fill="D9D9D9"/>
                <w:vertAlign w:val="superscript"/>
                <w14:textFill>
                  <w14:solidFill>
                    <w14:schemeClr w14:val="tx1"/>
                  </w14:solidFill>
                </w14:textFill>
              </w:rPr>
              <w:footnoteReference w:id="31"/>
            </w:r>
            <w:r>
              <w:rPr>
                <w:rFonts w:hint="eastAsia" w:ascii="宋体" w:hAnsi="宋体" w:eastAsia="宋体"/>
                <w:bCs/>
                <w:sz w:val="21"/>
                <w:szCs w:val="21"/>
                <w:shd w:val="clear" w:color="FFFFFF" w:fill="D9D9D9"/>
                <w:lang w:val="en-US"/>
              </w:rPr>
              <w:t>、膏方费，中草药代加工成粉剂、药丸、胶囊、胶或其他制剂发生的加工费</w:t>
            </w:r>
            <w:r>
              <w:rPr>
                <w:rFonts w:hint="eastAsia" w:ascii="宋体" w:hAnsi="宋体" w:eastAsia="宋体"/>
                <w:bCs/>
                <w:sz w:val="21"/>
                <w:szCs w:val="21"/>
                <w:shd w:val="clear" w:color="auto" w:fill="auto"/>
                <w:lang w:val="en-US"/>
              </w:rPr>
              <w:t>。</w:t>
            </w:r>
            <w:r>
              <w:rPr>
                <w:rFonts w:hint="eastAsia" w:ascii="宋体" w:hAnsi="宋体"/>
                <w:bCs/>
                <w:sz w:val="21"/>
                <w:szCs w:val="21"/>
                <w:shd w:val="clear" w:color="auto" w:fill="auto"/>
                <w:lang w:val="en-US" w:eastAsia="zh-CN"/>
              </w:rPr>
              <w:t>但由</w:t>
            </w:r>
            <w:r>
              <w:rPr>
                <w:rFonts w:hint="eastAsia" w:ascii="黑体" w:hAnsi="黑体" w:eastAsia="黑体" w:cs="黑体"/>
                <w:b/>
                <w:bCs w:val="0"/>
                <w:sz w:val="21"/>
                <w:szCs w:val="21"/>
                <w:shd w:val="clear" w:color="auto" w:fill="auto"/>
                <w:lang w:val="en-US"/>
              </w:rPr>
              <w:t>指定</w:t>
            </w:r>
            <w:r>
              <w:rPr>
                <w:rFonts w:hint="eastAsia" w:ascii="黑体" w:hAnsi="黑体" w:eastAsia="黑体" w:cs="黑体"/>
                <w:b/>
                <w:bCs w:val="0"/>
                <w:sz w:val="21"/>
                <w:szCs w:val="21"/>
                <w:shd w:val="clear" w:color="auto" w:fill="auto"/>
                <w:lang w:val="en-US" w:eastAsia="zh-CN"/>
              </w:rPr>
              <w:t>互联网医院</w:t>
            </w:r>
            <w:r>
              <w:rPr>
                <w:rStyle w:val="23"/>
                <w:rFonts w:hint="default" w:ascii="黑体" w:hAnsi="黑体" w:eastAsia="黑体"/>
                <w:b/>
                <w:sz w:val="21"/>
                <w:szCs w:val="22"/>
                <w:shd w:val="clear" w:color="auto" w:fill="auto"/>
                <w:lang w:val="en-US"/>
              </w:rPr>
              <w:footnoteReference w:id="32"/>
            </w:r>
            <w:r>
              <w:rPr>
                <w:rFonts w:hint="eastAsia" w:ascii="宋体" w:hAnsi="宋体" w:eastAsia="宋体"/>
                <w:bCs/>
                <w:sz w:val="21"/>
                <w:szCs w:val="21"/>
                <w:shd w:val="clear" w:color="auto" w:fill="auto"/>
                <w:lang w:val="en-US"/>
              </w:rPr>
              <w:t>医生开具的处方包含上述用品的不受</w:t>
            </w:r>
            <w:r>
              <w:rPr>
                <w:rFonts w:hint="eastAsia" w:ascii="宋体" w:hAnsi="宋体"/>
                <w:bCs/>
                <w:sz w:val="21"/>
                <w:szCs w:val="21"/>
                <w:shd w:val="clear" w:color="auto" w:fill="auto"/>
                <w:lang w:val="en-US" w:eastAsia="zh-CN"/>
              </w:rPr>
              <w:t>此限。</w:t>
            </w:r>
          </w:p>
        </w:tc>
      </w:tr>
      <w:tr w14:paraId="69AECAB0">
        <w:tblPrEx>
          <w:tblCellMar>
            <w:top w:w="0" w:type="dxa"/>
            <w:left w:w="108" w:type="dxa"/>
            <w:bottom w:w="0" w:type="dxa"/>
            <w:right w:w="108" w:type="dxa"/>
          </w:tblCellMar>
        </w:tblPrEx>
        <w:trPr>
          <w:trHeight w:val="265" w:hRule="exact"/>
        </w:trPr>
        <w:tc>
          <w:tcPr>
            <w:tcW w:w="552" w:type="pct"/>
          </w:tcPr>
          <w:p w14:paraId="4320C6E5">
            <w:pPr>
              <w:jc w:val="center"/>
              <w:rPr>
                <w:rFonts w:ascii="宋体" w:hAnsi="宋体"/>
                <w:color w:val="000000" w:themeColor="text1"/>
                <w:szCs w:val="24"/>
                <w14:textFill>
                  <w14:solidFill>
                    <w14:schemeClr w14:val="tx1"/>
                  </w14:solidFill>
                </w14:textFill>
              </w:rPr>
            </w:pPr>
          </w:p>
        </w:tc>
        <w:tc>
          <w:tcPr>
            <w:tcW w:w="962" w:type="pct"/>
          </w:tcPr>
          <w:p w14:paraId="5B7B1CC7">
            <w:pPr>
              <w:rPr>
                <w:rFonts w:ascii="宋体" w:hAnsi="宋体"/>
                <w:color w:val="000000" w:themeColor="text1"/>
                <w:szCs w:val="24"/>
                <w14:textFill>
                  <w14:solidFill>
                    <w14:schemeClr w14:val="tx1"/>
                  </w14:solidFill>
                </w14:textFill>
              </w:rPr>
            </w:pPr>
          </w:p>
        </w:tc>
        <w:tc>
          <w:tcPr>
            <w:tcW w:w="3484" w:type="pct"/>
          </w:tcPr>
          <w:p w14:paraId="1D0BD31D">
            <w:pPr>
              <w:rPr>
                <w:rFonts w:ascii="宋体" w:hAnsi="宋体"/>
                <w:color w:val="000000" w:themeColor="text1"/>
                <w:szCs w:val="24"/>
                <w14:textFill>
                  <w14:solidFill>
                    <w14:schemeClr w14:val="tx1"/>
                  </w14:solidFill>
                </w14:textFill>
              </w:rPr>
            </w:pPr>
          </w:p>
        </w:tc>
      </w:tr>
      <w:tr w14:paraId="0A6761A0">
        <w:tblPrEx>
          <w:tblCellMar>
            <w:top w:w="0" w:type="dxa"/>
            <w:left w:w="108" w:type="dxa"/>
            <w:bottom w:w="0" w:type="dxa"/>
            <w:right w:w="108" w:type="dxa"/>
          </w:tblCellMar>
        </w:tblPrEx>
        <w:tc>
          <w:tcPr>
            <w:tcW w:w="552" w:type="pct"/>
          </w:tcPr>
          <w:p w14:paraId="71A2A2E4">
            <w:pPr>
              <w:jc w:val="center"/>
              <w:rPr>
                <w:rFonts w:ascii="宋体" w:hAnsi="宋体"/>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3.</w:t>
            </w:r>
            <w:r>
              <w:rPr>
                <w:rFonts w:hint="eastAsia" w:ascii="宋体" w:hAnsi="宋体"/>
                <w:b/>
                <w:color w:val="000000" w:themeColor="text1"/>
                <w:szCs w:val="24"/>
                <w14:textFill>
                  <w14:solidFill>
                    <w14:schemeClr w14:val="tx1"/>
                  </w14:solidFill>
                </w14:textFill>
              </w:rPr>
              <w:t>2</w:t>
            </w:r>
          </w:p>
        </w:tc>
        <w:tc>
          <w:tcPr>
            <w:tcW w:w="962" w:type="pct"/>
          </w:tcPr>
          <w:p w14:paraId="075006AF">
            <w:pP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其他需要您仔细阅读的条款</w:t>
            </w:r>
          </w:p>
        </w:tc>
        <w:tc>
          <w:tcPr>
            <w:tcW w:w="3484" w:type="pct"/>
          </w:tcPr>
          <w:p w14:paraId="241D12CF">
            <w:pPr>
              <w:rPr>
                <w:rFonts w:ascii="宋体" w:hAnsi="宋体"/>
                <w:color w:val="000000" w:themeColor="text1"/>
                <w:szCs w:val="24"/>
                <w:shd w:val="pct10" w:color="auto" w:fill="FFFFFF"/>
                <w14:textFill>
                  <w14:solidFill>
                    <w14:schemeClr w14:val="tx1"/>
                  </w14:solidFill>
                </w14:textFill>
              </w:rPr>
            </w:pPr>
            <w:r>
              <w:rPr>
                <w:rFonts w:hint="eastAsia" w:ascii="宋体" w:hAnsi="宋体"/>
                <w:color w:val="000000" w:themeColor="text1"/>
                <w:szCs w:val="24"/>
                <w:shd w:val="pct10" w:color="auto" w:fill="FFFFFF"/>
                <w14:textFill>
                  <w14:solidFill>
                    <w14:schemeClr w14:val="tx1"/>
                  </w14:solidFill>
                </w14:textFill>
              </w:rPr>
              <w:t>除“</w:t>
            </w:r>
            <w:r>
              <w:rPr>
                <w:rFonts w:ascii="宋体" w:hAnsi="宋体"/>
                <w:color w:val="000000" w:themeColor="text1"/>
                <w:szCs w:val="24"/>
                <w:shd w:val="pct10" w:color="auto" w:fill="FFFFFF"/>
                <w14:textFill>
                  <w14:solidFill>
                    <w14:schemeClr w14:val="tx1"/>
                  </w14:solidFill>
                </w14:textFill>
              </w:rPr>
              <w:t>3.1责任免除”外，本主险合同中还有一些</w:t>
            </w:r>
            <w:r>
              <w:rPr>
                <w:rFonts w:hint="eastAsia" w:ascii="宋体" w:hAnsi="宋体"/>
                <w:color w:val="000000" w:themeColor="text1"/>
                <w:szCs w:val="24"/>
                <w:shd w:val="pct10" w:color="auto" w:fill="FFFFFF"/>
                <w14:textFill>
                  <w14:solidFill>
                    <w14:schemeClr w14:val="tx1"/>
                  </w14:solidFill>
                </w14:textFill>
              </w:rPr>
              <w:t>需要您仔细阅读</w:t>
            </w:r>
            <w:r>
              <w:rPr>
                <w:rFonts w:ascii="宋体" w:hAnsi="宋体"/>
                <w:color w:val="000000" w:themeColor="text1"/>
                <w:szCs w:val="24"/>
                <w:shd w:val="pct10" w:color="auto" w:fill="FFFFFF"/>
                <w14:textFill>
                  <w14:solidFill>
                    <w14:schemeClr w14:val="tx1"/>
                  </w14:solidFill>
                </w14:textFill>
              </w:rPr>
              <w:t>的条款，详见</w:t>
            </w:r>
            <w:r>
              <w:rPr>
                <w:rFonts w:hint="eastAsia" w:ascii="宋体" w:hAnsi="宋体"/>
                <w:color w:val="000000" w:themeColor="text1"/>
                <w:szCs w:val="24"/>
                <w:shd w:val="pct10" w:color="auto" w:fill="FFFFFF"/>
                <w14:textFill>
                  <w14:solidFill>
                    <w14:schemeClr w14:val="tx1"/>
                  </w14:solidFill>
                </w14:textFill>
              </w:rPr>
              <w:t>“</w:t>
            </w:r>
            <w:r>
              <w:rPr>
                <w:rFonts w:ascii="宋体" w:hAnsi="宋体"/>
                <w:color w:val="000000" w:themeColor="text1"/>
                <w:szCs w:val="24"/>
                <w:shd w:val="pct10" w:color="auto" w:fill="FFFFFF"/>
                <w14:textFill>
                  <w14:solidFill>
                    <w14:schemeClr w14:val="tx1"/>
                  </w14:solidFill>
                </w14:textFill>
              </w:rPr>
              <w:t>2.2</w:t>
            </w:r>
            <w:r>
              <w:rPr>
                <w:rFonts w:hint="eastAsia" w:ascii="宋体" w:hAnsi="宋体"/>
                <w:color w:val="000000" w:themeColor="text1"/>
                <w:szCs w:val="24"/>
                <w:shd w:val="pct10" w:color="auto" w:fill="FFFFFF"/>
                <w14:textFill>
                  <w14:solidFill>
                    <w14:schemeClr w14:val="tx1"/>
                  </w14:solidFill>
                </w14:textFill>
              </w:rPr>
              <w:t>保险责任”、</w:t>
            </w:r>
            <w:r>
              <w:rPr>
                <w:rFonts w:hint="eastAsia" w:ascii="宋体" w:hAnsi="宋体"/>
                <w:color w:val="000000" w:themeColor="text1"/>
                <w:szCs w:val="24"/>
                <w:shd w:val="pct10" w:color="auto" w:fill="FFFFFF"/>
                <w:lang w:eastAsia="zh-CN"/>
                <w14:textFill>
                  <w14:solidFill>
                    <w14:schemeClr w14:val="tx1"/>
                  </w14:solidFill>
                </w14:textFill>
              </w:rPr>
              <w:t>“</w:t>
            </w:r>
            <w:r>
              <w:rPr>
                <w:rFonts w:hint="eastAsia" w:ascii="宋体" w:hAnsi="宋体"/>
                <w:color w:val="000000" w:themeColor="text1"/>
                <w:szCs w:val="24"/>
                <w:shd w:val="pct10" w:color="auto" w:fill="FFFFFF"/>
                <w:lang w:val="en-US" w:eastAsia="zh-CN"/>
                <w14:textFill>
                  <w14:solidFill>
                    <w14:schemeClr w14:val="tx1"/>
                  </w14:solidFill>
                </w14:textFill>
              </w:rPr>
              <w:t>4.3效力终止与恢复</w:t>
            </w:r>
            <w:r>
              <w:rPr>
                <w:rFonts w:hint="eastAsia" w:ascii="宋体" w:hAnsi="宋体"/>
                <w:color w:val="000000" w:themeColor="text1"/>
                <w:szCs w:val="24"/>
                <w:shd w:val="pct10" w:color="auto" w:fill="FFFFFF"/>
                <w:lang w:eastAsia="zh-CN"/>
                <w14:textFill>
                  <w14:solidFill>
                    <w14:schemeClr w14:val="tx1"/>
                  </w14:solidFill>
                </w14:textFill>
              </w:rPr>
              <w:t>”</w:t>
            </w:r>
            <w:r>
              <w:rPr>
                <w:rFonts w:hint="eastAsia" w:ascii="宋体" w:hAnsi="宋体"/>
                <w:color w:val="000000" w:themeColor="text1"/>
                <w:szCs w:val="24"/>
                <w:shd w:val="pct10" w:color="auto" w:fill="FFFFFF"/>
                <w14:textFill>
                  <w14:solidFill>
                    <w14:schemeClr w14:val="tx1"/>
                  </w14:solidFill>
                </w14:textFill>
              </w:rPr>
              <w:t>“</w:t>
            </w:r>
            <w:r>
              <w:rPr>
                <w:rFonts w:hint="eastAsia" w:ascii="宋体" w:hAnsi="宋体"/>
                <w:color w:val="000000" w:themeColor="text1"/>
                <w:szCs w:val="24"/>
                <w:shd w:val="pct10" w:color="auto" w:fill="FFFFFF"/>
                <w:lang w:val="en-US" w:eastAsia="zh-CN"/>
                <w14:textFill>
                  <w14:solidFill>
                    <w14:schemeClr w14:val="tx1"/>
                  </w14:solidFill>
                </w14:textFill>
              </w:rPr>
              <w:t>5</w:t>
            </w:r>
            <w:r>
              <w:rPr>
                <w:rFonts w:ascii="宋体" w:hAnsi="宋体"/>
                <w:color w:val="000000" w:themeColor="text1"/>
                <w:szCs w:val="24"/>
                <w:shd w:val="pct10" w:color="auto" w:fill="FFFFFF"/>
                <w14:textFill>
                  <w14:solidFill>
                    <w14:schemeClr w14:val="tx1"/>
                  </w14:solidFill>
                </w14:textFill>
              </w:rPr>
              <w:t>.2</w:t>
            </w:r>
            <w:r>
              <w:rPr>
                <w:rFonts w:hint="eastAsia" w:ascii="宋体" w:hAnsi="宋体"/>
                <w:color w:val="000000" w:themeColor="text1"/>
                <w:szCs w:val="24"/>
                <w:shd w:val="pct10" w:color="auto" w:fill="FFFFFF"/>
                <w14:textFill>
                  <w14:solidFill>
                    <w14:schemeClr w14:val="tx1"/>
                  </w14:solidFill>
                </w14:textFill>
              </w:rPr>
              <w:t>保险事故通知”、“</w:t>
            </w:r>
            <w:r>
              <w:rPr>
                <w:rFonts w:hint="eastAsia" w:ascii="宋体" w:hAnsi="宋体"/>
                <w:color w:val="000000" w:themeColor="text1"/>
                <w:szCs w:val="24"/>
                <w:shd w:val="pct10" w:color="auto" w:fill="FFFFFF"/>
                <w:lang w:val="en-US" w:eastAsia="zh-CN"/>
                <w14:textFill>
                  <w14:solidFill>
                    <w14:schemeClr w14:val="tx1"/>
                  </w14:solidFill>
                </w14:textFill>
              </w:rPr>
              <w:t>7</w:t>
            </w:r>
            <w:r>
              <w:rPr>
                <w:rFonts w:ascii="宋体" w:hAnsi="宋体"/>
                <w:color w:val="000000" w:themeColor="text1"/>
                <w:szCs w:val="24"/>
                <w:shd w:val="pct10" w:color="auto" w:fill="FFFFFF"/>
                <w14:textFill>
                  <w14:solidFill>
                    <w14:schemeClr w14:val="tx1"/>
                  </w14:solidFill>
                </w14:textFill>
              </w:rPr>
              <w:t>.</w:t>
            </w:r>
            <w:r>
              <w:rPr>
                <w:rFonts w:hint="eastAsia" w:ascii="宋体" w:hAnsi="宋体"/>
                <w:color w:val="000000" w:themeColor="text1"/>
                <w:szCs w:val="24"/>
                <w:shd w:val="pct10" w:color="auto" w:fill="FFFFFF"/>
                <w14:textFill>
                  <w14:solidFill>
                    <w14:schemeClr w14:val="tx1"/>
                  </w14:solidFill>
                </w14:textFill>
              </w:rPr>
              <w:t>1明确说明与如实告知”、“</w:t>
            </w:r>
            <w:r>
              <w:rPr>
                <w:rFonts w:hint="eastAsia" w:ascii="宋体" w:hAnsi="宋体"/>
                <w:color w:val="000000" w:themeColor="text1"/>
                <w:szCs w:val="24"/>
                <w:shd w:val="pct10" w:color="auto" w:fill="FFFFFF"/>
                <w:lang w:val="en-US" w:eastAsia="zh-CN"/>
                <w14:textFill>
                  <w14:solidFill>
                    <w14:schemeClr w14:val="tx1"/>
                  </w14:solidFill>
                </w14:textFill>
              </w:rPr>
              <w:t>7</w:t>
            </w:r>
            <w:r>
              <w:rPr>
                <w:rFonts w:ascii="宋体" w:hAnsi="宋体"/>
                <w:color w:val="000000" w:themeColor="text1"/>
                <w:szCs w:val="24"/>
                <w:shd w:val="pct10" w:color="auto" w:fill="FFFFFF"/>
                <w14:textFill>
                  <w14:solidFill>
                    <w14:schemeClr w14:val="tx1"/>
                  </w14:solidFill>
                </w14:textFill>
              </w:rPr>
              <w:t>.2</w:t>
            </w:r>
            <w:r>
              <w:rPr>
                <w:rFonts w:hint="eastAsia" w:ascii="宋体" w:hAnsi="宋体"/>
                <w:color w:val="000000" w:themeColor="text1"/>
                <w:szCs w:val="24"/>
                <w:shd w:val="pct10" w:color="auto" w:fill="FFFFFF"/>
                <w14:textFill>
                  <w14:solidFill>
                    <w14:schemeClr w14:val="tx1"/>
                  </w14:solidFill>
                </w14:textFill>
              </w:rPr>
              <w:t>年龄与性别错误”</w:t>
            </w:r>
            <w:r>
              <w:rPr>
                <w:rFonts w:hint="eastAsia" w:ascii="宋体" w:hAnsi="宋体"/>
                <w:color w:val="000000" w:themeColor="text1"/>
                <w:szCs w:val="24"/>
                <w:shd w:val="pct10" w:color="auto" w:fill="FFFFFF"/>
                <w:lang w:eastAsia="zh-CN"/>
                <w14:textFill>
                  <w14:solidFill>
                    <w14:schemeClr w14:val="tx1"/>
                  </w14:solidFill>
                </w14:textFill>
              </w:rPr>
              <w:t>、“</w:t>
            </w:r>
            <w:r>
              <w:rPr>
                <w:rFonts w:hint="eastAsia" w:ascii="宋体" w:hAnsi="宋体"/>
                <w:color w:val="000000" w:themeColor="text1"/>
                <w:szCs w:val="24"/>
                <w:shd w:val="pct10" w:color="auto" w:fill="FFFFFF"/>
                <w:lang w:val="en-US" w:eastAsia="zh-CN"/>
                <w14:textFill>
                  <w14:solidFill>
                    <w14:schemeClr w14:val="tx1"/>
                  </w14:solidFill>
                </w14:textFill>
              </w:rPr>
              <w:t>7.4职业或工种变更</w:t>
            </w:r>
            <w:r>
              <w:rPr>
                <w:rFonts w:hint="eastAsia" w:ascii="宋体" w:hAnsi="宋体"/>
                <w:color w:val="000000" w:themeColor="text1"/>
                <w:szCs w:val="24"/>
                <w:shd w:val="pct10" w:color="auto" w:fill="FFFFFF"/>
                <w:lang w:eastAsia="zh-CN"/>
                <w14:textFill>
                  <w14:solidFill>
                    <w14:schemeClr w14:val="tx1"/>
                  </w14:solidFill>
                </w14:textFill>
              </w:rPr>
              <w:t>”</w:t>
            </w:r>
            <w:r>
              <w:rPr>
                <w:rFonts w:hint="eastAsia" w:ascii="宋体" w:hAnsi="宋体"/>
                <w:color w:val="000000" w:themeColor="text1"/>
                <w:szCs w:val="24"/>
                <w:shd w:val="pct10" w:color="auto" w:fill="FFFFFF"/>
                <w14:textFill>
                  <w14:solidFill>
                    <w14:schemeClr w14:val="tx1"/>
                  </w14:solidFill>
                </w14:textFill>
              </w:rPr>
              <w:t>、脚注和附表中背景突出显示的内容。</w:t>
            </w:r>
          </w:p>
        </w:tc>
      </w:tr>
      <w:tr w14:paraId="4010CC55">
        <w:tblPrEx>
          <w:tblCellMar>
            <w:top w:w="0" w:type="dxa"/>
            <w:left w:w="108" w:type="dxa"/>
            <w:bottom w:w="0" w:type="dxa"/>
            <w:right w:w="108" w:type="dxa"/>
          </w:tblCellMar>
        </w:tblPrEx>
        <w:trPr>
          <w:trHeight w:val="283" w:hRule="exact"/>
        </w:trPr>
        <w:tc>
          <w:tcPr>
            <w:tcW w:w="552" w:type="pct"/>
          </w:tcPr>
          <w:p w14:paraId="3B18E31C">
            <w:pPr>
              <w:jc w:val="center"/>
              <w:rPr>
                <w:rFonts w:ascii="宋体" w:hAnsi="宋体"/>
                <w:color w:val="000000" w:themeColor="text1"/>
                <w:szCs w:val="24"/>
                <w14:textFill>
                  <w14:solidFill>
                    <w14:schemeClr w14:val="tx1"/>
                  </w14:solidFill>
                </w14:textFill>
              </w:rPr>
            </w:pPr>
          </w:p>
        </w:tc>
        <w:tc>
          <w:tcPr>
            <w:tcW w:w="962" w:type="pct"/>
          </w:tcPr>
          <w:p w14:paraId="44CD748D">
            <w:pPr>
              <w:rPr>
                <w:rFonts w:ascii="宋体" w:hAnsi="宋体"/>
                <w:color w:val="000000" w:themeColor="text1"/>
                <w:szCs w:val="24"/>
                <w14:textFill>
                  <w14:solidFill>
                    <w14:schemeClr w14:val="tx1"/>
                  </w14:solidFill>
                </w14:textFill>
              </w:rPr>
            </w:pPr>
          </w:p>
        </w:tc>
        <w:tc>
          <w:tcPr>
            <w:tcW w:w="3484" w:type="pct"/>
          </w:tcPr>
          <w:p w14:paraId="18FD14B9">
            <w:pPr>
              <w:rPr>
                <w:rFonts w:ascii="宋体" w:hAnsi="宋体"/>
                <w:color w:val="000000" w:themeColor="text1"/>
                <w:szCs w:val="24"/>
                <w14:textFill>
                  <w14:solidFill>
                    <w14:schemeClr w14:val="tx1"/>
                  </w14:solidFill>
                </w14:textFill>
              </w:rPr>
            </w:pPr>
          </w:p>
        </w:tc>
      </w:tr>
      <w:tr w14:paraId="46672C49">
        <w:tblPrEx>
          <w:tblCellMar>
            <w:top w:w="0" w:type="dxa"/>
            <w:left w:w="108" w:type="dxa"/>
            <w:bottom w:w="0" w:type="dxa"/>
            <w:right w:w="108" w:type="dxa"/>
          </w:tblCellMar>
        </w:tblPrEx>
        <w:trPr>
          <w:trHeight w:val="176" w:hRule="atLeast"/>
        </w:trPr>
        <w:tc>
          <w:tcPr>
            <w:tcW w:w="552" w:type="pct"/>
            <w:tcBorders>
              <w:top w:val="nil"/>
              <w:left w:val="nil"/>
              <w:bottom w:val="single" w:color="auto" w:sz="4" w:space="0"/>
              <w:right w:val="nil"/>
            </w:tcBorders>
          </w:tcPr>
          <w:p w14:paraId="556BCBAA">
            <w:pPr>
              <w:jc w:val="center"/>
              <w:rPr>
                <w:rFonts w:ascii="宋体" w:hAnsi="宋体"/>
                <w:b/>
                <w:color w:val="000000" w:themeColor="text1"/>
                <w:szCs w:val="24"/>
                <w14:textFill>
                  <w14:solidFill>
                    <w14:schemeClr w14:val="tx1"/>
                  </w14:solidFill>
                </w14:textFill>
              </w:rPr>
            </w:pPr>
            <w:r>
              <w:rPr>
                <w:rFonts w:ascii="Wingdings 2" w:hAnsi="Wingdings 2"/>
                <w:b/>
                <w:color w:val="000000" w:themeColor="text1"/>
                <w:sz w:val="40"/>
                <w14:textFill>
                  <w14:solidFill>
                    <w14:schemeClr w14:val="tx1"/>
                  </w14:solidFill>
                </w14:textFill>
              </w:rPr>
              <w:sym w:font="Wingdings 2" w:char="F078"/>
            </w:r>
          </w:p>
        </w:tc>
        <w:tc>
          <w:tcPr>
            <w:tcW w:w="4447" w:type="pct"/>
            <w:gridSpan w:val="2"/>
            <w:tcBorders>
              <w:top w:val="nil"/>
              <w:left w:val="nil"/>
              <w:bottom w:val="single" w:color="auto" w:sz="4" w:space="0"/>
              <w:right w:val="nil"/>
            </w:tcBorders>
            <w:vAlign w:val="center"/>
          </w:tcPr>
          <w:p w14:paraId="23712362">
            <w:pPr>
              <w:rPr>
                <w:rFonts w:ascii="Times New Roman" w:hAnsi="Times New Roman"/>
                <w:color w:val="000000" w:themeColor="text1"/>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如何支付保险费</w:t>
            </w:r>
          </w:p>
        </w:tc>
      </w:tr>
      <w:tr w14:paraId="0D2B13B2">
        <w:tblPrEx>
          <w:tblCellMar>
            <w:top w:w="0" w:type="dxa"/>
            <w:left w:w="108" w:type="dxa"/>
            <w:bottom w:w="0" w:type="dxa"/>
            <w:right w:w="108" w:type="dxa"/>
          </w:tblCellMar>
        </w:tblPrEx>
        <w:tc>
          <w:tcPr>
            <w:tcW w:w="552" w:type="pct"/>
            <w:tcBorders>
              <w:top w:val="single" w:color="auto" w:sz="4" w:space="0"/>
            </w:tcBorders>
          </w:tcPr>
          <w:p w14:paraId="7F1AC382">
            <w:pPr>
              <w:jc w:val="center"/>
              <w:rPr>
                <w:rFonts w:ascii="宋体" w:hAnsi="宋体"/>
                <w:b/>
                <w:color w:val="000000" w:themeColor="text1"/>
                <w:szCs w:val="24"/>
                <w14:textFill>
                  <w14:solidFill>
                    <w14:schemeClr w14:val="tx1"/>
                  </w14:solidFill>
                </w14:textFill>
              </w:rPr>
            </w:pPr>
          </w:p>
        </w:tc>
        <w:tc>
          <w:tcPr>
            <w:tcW w:w="962" w:type="pct"/>
            <w:tcBorders>
              <w:top w:val="single" w:color="auto" w:sz="4" w:space="0"/>
            </w:tcBorders>
          </w:tcPr>
          <w:p w14:paraId="40CB4E02">
            <w:pPr>
              <w:rPr>
                <w:rFonts w:ascii="宋体" w:hAnsi="宋体"/>
                <w:b/>
                <w:color w:val="000000" w:themeColor="text1"/>
                <w:szCs w:val="24"/>
                <w14:textFill>
                  <w14:solidFill>
                    <w14:schemeClr w14:val="tx1"/>
                  </w14:solidFill>
                </w14:textFill>
              </w:rPr>
            </w:pPr>
          </w:p>
        </w:tc>
        <w:tc>
          <w:tcPr>
            <w:tcW w:w="3484" w:type="pct"/>
            <w:tcBorders>
              <w:top w:val="single" w:color="auto" w:sz="4" w:space="0"/>
            </w:tcBorders>
          </w:tcPr>
          <w:p w14:paraId="527C7F43">
            <w:pPr>
              <w:rPr>
                <w:rFonts w:ascii="宋体" w:hAnsi="宋体" w:cs="宋体"/>
              </w:rPr>
            </w:pPr>
          </w:p>
        </w:tc>
      </w:tr>
      <w:tr w14:paraId="7171081D">
        <w:tblPrEx>
          <w:tblCellMar>
            <w:top w:w="0" w:type="dxa"/>
            <w:left w:w="108" w:type="dxa"/>
            <w:bottom w:w="0" w:type="dxa"/>
            <w:right w:w="108" w:type="dxa"/>
          </w:tblCellMar>
        </w:tblPrEx>
        <w:tc>
          <w:tcPr>
            <w:tcW w:w="552" w:type="pct"/>
          </w:tcPr>
          <w:p w14:paraId="489F4BC9">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4</w:t>
            </w:r>
            <w:r>
              <w:rPr>
                <w:rFonts w:ascii="宋体" w:hAnsi="宋体"/>
                <w:b/>
                <w:color w:val="000000" w:themeColor="text1"/>
                <w:szCs w:val="24"/>
                <w14:textFill>
                  <w14:solidFill>
                    <w14:schemeClr w14:val="tx1"/>
                  </w14:solidFill>
                </w14:textFill>
              </w:rPr>
              <w:t>.1</w:t>
            </w:r>
          </w:p>
        </w:tc>
        <w:tc>
          <w:tcPr>
            <w:tcW w:w="962" w:type="pct"/>
          </w:tcPr>
          <w:p w14:paraId="222B39BC">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保险费的支付</w:t>
            </w:r>
          </w:p>
        </w:tc>
        <w:tc>
          <w:tcPr>
            <w:tcW w:w="3484" w:type="pct"/>
          </w:tcPr>
          <w:p w14:paraId="32F4AE08">
            <w:pPr>
              <w:rPr>
                <w:rFonts w:hint="eastAsia" w:ascii="宋体" w:hAnsi="宋体" w:eastAsia="宋体" w:cs="宋体"/>
                <w:sz w:val="21"/>
                <w:szCs w:val="22"/>
              </w:rPr>
            </w:pPr>
            <w:r>
              <w:rPr>
                <w:rFonts w:hint="eastAsia" w:ascii="宋体" w:hAnsi="宋体" w:eastAsia="宋体" w:cs="宋体"/>
                <w:sz w:val="21"/>
                <w:szCs w:val="22"/>
              </w:rPr>
              <w:t>本主险合同的交费方式和交费期间由您和我们约定并在保险单上载明。分期支付保险费的，在支付首期保险费后，应当在每个</w:t>
            </w:r>
            <w:r>
              <w:rPr>
                <w:rFonts w:hint="eastAsia" w:ascii="黑体" w:hAnsi="黑体" w:eastAsia="黑体"/>
                <w:b/>
                <w:kern w:val="0"/>
                <w:szCs w:val="21"/>
              </w:rPr>
              <w:t>保险费约定支付日</w:t>
            </w:r>
            <w:r>
              <w:rPr>
                <w:rStyle w:val="23"/>
                <w:rFonts w:ascii="黑体" w:hAnsi="黑体" w:eastAsia="黑体"/>
                <w:b/>
                <w:kern w:val="0"/>
                <w:szCs w:val="21"/>
              </w:rPr>
              <w:footnoteReference w:id="33"/>
            </w:r>
            <w:r>
              <w:rPr>
                <w:rFonts w:hint="eastAsia" w:ascii="宋体" w:hAnsi="宋体" w:eastAsia="宋体" w:cs="宋体"/>
                <w:sz w:val="21"/>
                <w:szCs w:val="22"/>
              </w:rPr>
              <w:t xml:space="preserve">支付当期应交保险费。 </w:t>
            </w:r>
          </w:p>
          <w:p w14:paraId="50052BE0">
            <w:pPr>
              <w:rPr>
                <w:rFonts w:ascii="宋体" w:hAnsi="宋体"/>
                <w:color w:val="000000" w:themeColor="text1"/>
                <w14:textFill>
                  <w14:solidFill>
                    <w14:schemeClr w14:val="tx1"/>
                  </w14:solidFill>
                </w14:textFill>
              </w:rPr>
            </w:pPr>
            <w:r>
              <w:rPr>
                <w:rFonts w:hint="eastAsia" w:ascii="宋体" w:hAnsi="宋体" w:eastAsia="宋体" w:cs="宋体"/>
                <w:sz w:val="21"/>
                <w:szCs w:val="22"/>
              </w:rPr>
              <w:t>本主险合同的交费期间有</w:t>
            </w:r>
            <w:r>
              <w:rPr>
                <w:rFonts w:hint="eastAsia" w:ascii="宋体" w:hAnsi="宋体" w:cs="宋体"/>
                <w:sz w:val="21"/>
                <w:szCs w:val="22"/>
                <w:lang w:val="en-US" w:eastAsia="zh-CN"/>
              </w:rPr>
              <w:t>趸交、</w:t>
            </w:r>
            <w:r>
              <w:rPr>
                <w:rFonts w:hint="eastAsia" w:ascii="宋体" w:hAnsi="宋体" w:eastAsia="宋体" w:cs="宋体"/>
                <w:sz w:val="21"/>
                <w:szCs w:val="22"/>
              </w:rPr>
              <w:t>3年、5年、10年</w:t>
            </w:r>
            <w:r>
              <w:rPr>
                <w:rFonts w:hint="eastAsia" w:ascii="宋体" w:hAnsi="宋体" w:cs="宋体"/>
                <w:sz w:val="21"/>
                <w:szCs w:val="22"/>
                <w:lang w:eastAsia="zh-CN"/>
              </w:rPr>
              <w:t>四</w:t>
            </w:r>
            <w:r>
              <w:rPr>
                <w:rFonts w:hint="eastAsia" w:ascii="宋体" w:hAnsi="宋体" w:eastAsia="宋体" w:cs="宋体"/>
                <w:sz w:val="21"/>
                <w:szCs w:val="22"/>
              </w:rPr>
              <w:t>种，以保险合同载明的约定为准。</w:t>
            </w:r>
          </w:p>
        </w:tc>
      </w:tr>
      <w:tr w14:paraId="660F0C33">
        <w:tblPrEx>
          <w:tblCellMar>
            <w:top w:w="0" w:type="dxa"/>
            <w:left w:w="108" w:type="dxa"/>
            <w:bottom w:w="0" w:type="dxa"/>
            <w:right w:w="108" w:type="dxa"/>
          </w:tblCellMar>
        </w:tblPrEx>
        <w:tc>
          <w:tcPr>
            <w:tcW w:w="552" w:type="pct"/>
          </w:tcPr>
          <w:p w14:paraId="18513547">
            <w:pPr>
              <w:jc w:val="center"/>
              <w:rPr>
                <w:rFonts w:ascii="宋体" w:hAnsi="宋体"/>
                <w:b/>
                <w:color w:val="000000" w:themeColor="text1"/>
                <w:szCs w:val="24"/>
                <w14:textFill>
                  <w14:solidFill>
                    <w14:schemeClr w14:val="tx1"/>
                  </w14:solidFill>
                </w14:textFill>
              </w:rPr>
            </w:pPr>
          </w:p>
        </w:tc>
        <w:tc>
          <w:tcPr>
            <w:tcW w:w="962" w:type="pct"/>
          </w:tcPr>
          <w:p w14:paraId="7E759844">
            <w:pPr>
              <w:rPr>
                <w:rFonts w:ascii="宋体" w:hAnsi="宋体"/>
                <w:b/>
                <w:color w:val="000000" w:themeColor="text1"/>
                <w:szCs w:val="24"/>
                <w14:textFill>
                  <w14:solidFill>
                    <w14:schemeClr w14:val="tx1"/>
                  </w14:solidFill>
                </w14:textFill>
              </w:rPr>
            </w:pPr>
          </w:p>
        </w:tc>
        <w:tc>
          <w:tcPr>
            <w:tcW w:w="3484" w:type="pct"/>
          </w:tcPr>
          <w:p w14:paraId="005F60BE">
            <w:pPr>
              <w:rPr>
                <w:rFonts w:ascii="宋体" w:hAnsi="宋体" w:cs="宋体"/>
              </w:rPr>
            </w:pPr>
          </w:p>
        </w:tc>
      </w:tr>
      <w:tr w14:paraId="3D1BA2CF">
        <w:tblPrEx>
          <w:tblCellMar>
            <w:top w:w="0" w:type="dxa"/>
            <w:left w:w="108" w:type="dxa"/>
            <w:bottom w:w="0" w:type="dxa"/>
            <w:right w:w="108" w:type="dxa"/>
          </w:tblCellMar>
        </w:tblPrEx>
        <w:tc>
          <w:tcPr>
            <w:tcW w:w="552" w:type="pct"/>
          </w:tcPr>
          <w:p w14:paraId="6A53DCB0">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4</w:t>
            </w:r>
            <w:r>
              <w:rPr>
                <w:rFonts w:ascii="宋体" w:hAnsi="宋体"/>
                <w:b/>
                <w:color w:val="000000" w:themeColor="text1"/>
                <w:szCs w:val="24"/>
                <w14:textFill>
                  <w14:solidFill>
                    <w14:schemeClr w14:val="tx1"/>
                  </w14:solidFill>
                </w14:textFill>
              </w:rPr>
              <w:t>.2</w:t>
            </w:r>
          </w:p>
        </w:tc>
        <w:tc>
          <w:tcPr>
            <w:tcW w:w="962" w:type="pct"/>
          </w:tcPr>
          <w:p w14:paraId="2E464433">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宽限期</w:t>
            </w:r>
          </w:p>
        </w:tc>
        <w:tc>
          <w:tcPr>
            <w:tcW w:w="3484" w:type="pct"/>
          </w:tcPr>
          <w:p w14:paraId="58B32075">
            <w:pPr>
              <w:rPr>
                <w:rFonts w:ascii="宋体" w:hAnsi="宋体" w:cs="宋体"/>
              </w:rPr>
            </w:pPr>
            <w:r>
              <w:rPr>
                <w:rFonts w:hint="eastAsia" w:ascii="宋体" w:hAnsi="宋体" w:cs="宋体"/>
              </w:rPr>
              <w:t>根据本主险合同的约定在</w:t>
            </w:r>
            <w:r>
              <w:rPr>
                <w:rFonts w:hint="eastAsia" w:ascii="宋体" w:hAnsi="宋体" w:cs="宋体"/>
                <w:lang w:val="en-US" w:eastAsia="zh-CN"/>
              </w:rPr>
              <w:t>交</w:t>
            </w:r>
            <w:r>
              <w:rPr>
                <w:rFonts w:hint="eastAsia" w:ascii="宋体" w:hAnsi="宋体" w:cs="宋体"/>
              </w:rPr>
              <w:t>费期间内分期支付保险费的，在支付首期保险费后，除本主险合同另有约定外，如果您在保险费约定支付日未缴纳应当支付的保险费，则自保险费约定支付日的次日零时起的60日为宽限期。宽限期内发生的保险事故，我们仍会承担保险责任，但在给付保险金时会扣减您欠交的保险费。</w:t>
            </w:r>
          </w:p>
          <w:p w14:paraId="6AF110BA">
            <w:pPr>
              <w:rPr>
                <w:rFonts w:ascii="宋体" w:hAnsi="宋体" w:cs="宋体"/>
              </w:rPr>
            </w:pPr>
            <w:r>
              <w:rPr>
                <w:rFonts w:hint="eastAsia" w:ascii="宋体" w:hAnsi="宋体" w:cs="宋体"/>
              </w:rPr>
              <w:t>如果您在宽限期结束时仍未支付保险费，则本主险合同自宽限期满的次日零时起效力中止。</w:t>
            </w:r>
          </w:p>
        </w:tc>
      </w:tr>
      <w:tr w14:paraId="1F4E8EEB">
        <w:tblPrEx>
          <w:tblCellMar>
            <w:top w:w="0" w:type="dxa"/>
            <w:left w:w="108" w:type="dxa"/>
            <w:bottom w:w="0" w:type="dxa"/>
            <w:right w:w="108" w:type="dxa"/>
          </w:tblCellMar>
        </w:tblPrEx>
        <w:trPr>
          <w:trHeight w:val="293" w:hRule="exact"/>
        </w:trPr>
        <w:tc>
          <w:tcPr>
            <w:tcW w:w="552" w:type="pct"/>
          </w:tcPr>
          <w:p w14:paraId="6841C71F">
            <w:pPr>
              <w:jc w:val="center"/>
              <w:rPr>
                <w:rFonts w:ascii="宋体" w:hAnsi="宋体"/>
                <w:b/>
                <w:color w:val="000000" w:themeColor="text1"/>
                <w:szCs w:val="24"/>
                <w14:textFill>
                  <w14:solidFill>
                    <w14:schemeClr w14:val="tx1"/>
                  </w14:solidFill>
                </w14:textFill>
              </w:rPr>
            </w:pPr>
          </w:p>
        </w:tc>
        <w:tc>
          <w:tcPr>
            <w:tcW w:w="962" w:type="pct"/>
          </w:tcPr>
          <w:p w14:paraId="3E80EDFE">
            <w:pPr>
              <w:rPr>
                <w:rFonts w:ascii="宋体" w:hAnsi="宋体"/>
                <w:b/>
                <w:color w:val="000000" w:themeColor="text1"/>
                <w:szCs w:val="24"/>
                <w14:textFill>
                  <w14:solidFill>
                    <w14:schemeClr w14:val="tx1"/>
                  </w14:solidFill>
                </w14:textFill>
              </w:rPr>
            </w:pPr>
          </w:p>
        </w:tc>
        <w:tc>
          <w:tcPr>
            <w:tcW w:w="3484" w:type="pct"/>
          </w:tcPr>
          <w:p w14:paraId="7336FB2B">
            <w:pPr>
              <w:rPr>
                <w:rFonts w:ascii="宋体" w:hAnsi="宋体"/>
                <w:color w:val="000000" w:themeColor="text1"/>
                <w:szCs w:val="24"/>
                <w14:textFill>
                  <w14:solidFill>
                    <w14:schemeClr w14:val="tx1"/>
                  </w14:solidFill>
                </w14:textFill>
              </w:rPr>
            </w:pPr>
          </w:p>
        </w:tc>
      </w:tr>
      <w:tr w14:paraId="666BC802">
        <w:tblPrEx>
          <w:tblCellMar>
            <w:top w:w="0" w:type="dxa"/>
            <w:left w:w="108" w:type="dxa"/>
            <w:bottom w:w="0" w:type="dxa"/>
            <w:right w:w="108" w:type="dxa"/>
          </w:tblCellMar>
        </w:tblPrEx>
        <w:tc>
          <w:tcPr>
            <w:tcW w:w="552" w:type="pct"/>
          </w:tcPr>
          <w:p w14:paraId="23CD8F3C">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4</w:t>
            </w:r>
            <w:r>
              <w:rPr>
                <w:rFonts w:ascii="宋体" w:hAnsi="宋体"/>
                <w:b/>
                <w:color w:val="000000" w:themeColor="text1"/>
                <w:szCs w:val="24"/>
                <w14:textFill>
                  <w14:solidFill>
                    <w14:schemeClr w14:val="tx1"/>
                  </w14:solidFill>
                </w14:textFill>
              </w:rPr>
              <w:t>.3</w:t>
            </w:r>
          </w:p>
        </w:tc>
        <w:tc>
          <w:tcPr>
            <w:tcW w:w="962" w:type="pct"/>
          </w:tcPr>
          <w:p w14:paraId="1FFCBDAD">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效力中止与恢复</w:t>
            </w:r>
          </w:p>
        </w:tc>
        <w:tc>
          <w:tcPr>
            <w:tcW w:w="3484" w:type="pct"/>
          </w:tcPr>
          <w:p w14:paraId="3E055743">
            <w:pPr>
              <w:rPr>
                <w:rFonts w:ascii="宋体" w:hAnsi="宋体" w:cs="宋体"/>
                <w:shd w:val="pct10" w:color="auto" w:fill="FFFFFF"/>
              </w:rPr>
            </w:pPr>
            <w:r>
              <w:rPr>
                <w:rFonts w:hint="eastAsia" w:ascii="宋体" w:hAnsi="宋体" w:cs="宋体"/>
                <w:shd w:val="pct10" w:color="auto" w:fill="FFFFFF"/>
              </w:rPr>
              <w:t>本主险合同效力中止期间，我们不承担保险责任。</w:t>
            </w:r>
          </w:p>
          <w:p w14:paraId="6DF16EC4">
            <w:pPr>
              <w:rPr>
                <w:rFonts w:ascii="宋体" w:hAnsi="宋体" w:cs="宋体"/>
                <w:highlight w:val="yellow"/>
              </w:rPr>
            </w:pPr>
            <w:r>
              <w:rPr>
                <w:rFonts w:hint="eastAsia" w:ascii="宋体" w:hAnsi="宋体" w:cs="宋体"/>
              </w:rPr>
              <w:t>您可以申请恢复本主险合同的效力，经您与我们协商并达成协议，自您补交全部应交保险费之日24时起，本主险合同效力恢复。您申请复效时，我们有权对被保险人当时的健康状况进行核保审核。</w:t>
            </w:r>
          </w:p>
          <w:p w14:paraId="623355B4">
            <w:pPr>
              <w:rPr>
                <w:rFonts w:ascii="宋体" w:hAnsi="宋体" w:cs="宋体"/>
              </w:rPr>
            </w:pPr>
            <w:r>
              <w:rPr>
                <w:rFonts w:hint="eastAsia" w:ascii="宋体" w:hAnsi="宋体" w:cs="宋体"/>
              </w:rPr>
              <w:t>本主险合同自效力中止之日起满2年您依然未与我们达成协议的，我们有权解除本主险合同并向您退还合同效力中止时本主险合同的现金价值。</w:t>
            </w:r>
          </w:p>
        </w:tc>
      </w:tr>
      <w:tr w14:paraId="16844949">
        <w:tblPrEx>
          <w:tblCellMar>
            <w:top w:w="0" w:type="dxa"/>
            <w:left w:w="108" w:type="dxa"/>
            <w:bottom w:w="0" w:type="dxa"/>
            <w:right w:w="108" w:type="dxa"/>
          </w:tblCellMar>
        </w:tblPrEx>
        <w:trPr>
          <w:trHeight w:val="293" w:hRule="exact"/>
        </w:trPr>
        <w:tc>
          <w:tcPr>
            <w:tcW w:w="552" w:type="pct"/>
          </w:tcPr>
          <w:p w14:paraId="4FE4EAF6">
            <w:pPr>
              <w:jc w:val="center"/>
              <w:rPr>
                <w:rFonts w:ascii="宋体" w:hAnsi="宋体"/>
                <w:b/>
                <w:color w:val="000000" w:themeColor="text1"/>
                <w:szCs w:val="24"/>
                <w14:textFill>
                  <w14:solidFill>
                    <w14:schemeClr w14:val="tx1"/>
                  </w14:solidFill>
                </w14:textFill>
              </w:rPr>
            </w:pPr>
          </w:p>
        </w:tc>
        <w:tc>
          <w:tcPr>
            <w:tcW w:w="962" w:type="pct"/>
          </w:tcPr>
          <w:p w14:paraId="1C16D156">
            <w:pPr>
              <w:rPr>
                <w:rFonts w:ascii="宋体" w:hAnsi="宋体"/>
                <w:b/>
                <w:color w:val="000000" w:themeColor="text1"/>
                <w:szCs w:val="24"/>
                <w14:textFill>
                  <w14:solidFill>
                    <w14:schemeClr w14:val="tx1"/>
                  </w14:solidFill>
                </w14:textFill>
              </w:rPr>
            </w:pPr>
          </w:p>
        </w:tc>
        <w:tc>
          <w:tcPr>
            <w:tcW w:w="3484" w:type="pct"/>
          </w:tcPr>
          <w:p w14:paraId="32698E49">
            <w:pPr>
              <w:rPr>
                <w:rFonts w:ascii="宋体" w:hAnsi="宋体"/>
                <w:color w:val="000000" w:themeColor="text1"/>
                <w:szCs w:val="24"/>
                <w14:textFill>
                  <w14:solidFill>
                    <w14:schemeClr w14:val="tx1"/>
                  </w14:solidFill>
                </w14:textFill>
              </w:rPr>
            </w:pPr>
          </w:p>
        </w:tc>
      </w:tr>
      <w:tr w14:paraId="760E7F04">
        <w:tblPrEx>
          <w:tblCellMar>
            <w:top w:w="0" w:type="dxa"/>
            <w:left w:w="108" w:type="dxa"/>
            <w:bottom w:w="0" w:type="dxa"/>
            <w:right w:w="108" w:type="dxa"/>
          </w:tblCellMar>
        </w:tblPrEx>
        <w:trPr>
          <w:cantSplit/>
          <w:trHeight w:val="574" w:hRule="atLeast"/>
        </w:trPr>
        <w:tc>
          <w:tcPr>
            <w:tcW w:w="552" w:type="pct"/>
            <w:tcBorders>
              <w:bottom w:val="single" w:color="000000" w:sz="4" w:space="0"/>
            </w:tcBorders>
            <w:vAlign w:val="center"/>
          </w:tcPr>
          <w:p w14:paraId="6BFC22EC">
            <w:pPr>
              <w:adjustRightInd w:val="0"/>
              <w:snapToGrid w:val="0"/>
              <w:jc w:val="center"/>
              <w:rPr>
                <w:rFonts w:hint="eastAsia" w:ascii="Wingdings 2" w:hAnsi="Wingdings 2"/>
                <w:b/>
                <w:color w:val="000000" w:themeColor="text1"/>
                <w:sz w:val="40"/>
                <w14:textFill>
                  <w14:solidFill>
                    <w14:schemeClr w14:val="tx1"/>
                  </w14:solidFill>
                </w14:textFill>
              </w:rPr>
            </w:pPr>
            <w:r>
              <w:rPr>
                <w:rFonts w:ascii="Wingdings 2" w:hAnsi="Wingdings 2"/>
                <w:b/>
                <w:color w:val="000000" w:themeColor="text1"/>
                <w:sz w:val="40"/>
                <w14:textFill>
                  <w14:solidFill>
                    <w14:schemeClr w14:val="tx1"/>
                  </w14:solidFill>
                </w14:textFill>
              </w:rPr>
              <w:sym w:font="Wingdings 2" w:char="F079"/>
            </w:r>
          </w:p>
        </w:tc>
        <w:tc>
          <w:tcPr>
            <w:tcW w:w="4447" w:type="pct"/>
            <w:gridSpan w:val="2"/>
            <w:tcBorders>
              <w:bottom w:val="single" w:color="000000" w:sz="4" w:space="0"/>
            </w:tcBorders>
            <w:vAlign w:val="center"/>
          </w:tcPr>
          <w:p w14:paraId="42D4BAC9">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如何领取保险金</w:t>
            </w:r>
          </w:p>
        </w:tc>
      </w:tr>
      <w:tr w14:paraId="2E4D4402">
        <w:tblPrEx>
          <w:tblCellMar>
            <w:top w:w="0" w:type="dxa"/>
            <w:left w:w="108" w:type="dxa"/>
            <w:bottom w:w="0" w:type="dxa"/>
            <w:right w:w="108" w:type="dxa"/>
          </w:tblCellMar>
        </w:tblPrEx>
        <w:trPr>
          <w:trHeight w:val="283" w:hRule="exact"/>
        </w:trPr>
        <w:tc>
          <w:tcPr>
            <w:tcW w:w="552" w:type="pct"/>
            <w:tcBorders>
              <w:top w:val="single" w:color="000000" w:sz="4" w:space="0"/>
            </w:tcBorders>
          </w:tcPr>
          <w:p w14:paraId="252BC007">
            <w:pPr>
              <w:jc w:val="center"/>
              <w:rPr>
                <w:rFonts w:ascii="宋体" w:hAnsi="宋体"/>
                <w:color w:val="000000" w:themeColor="text1"/>
                <w:szCs w:val="24"/>
                <w14:textFill>
                  <w14:solidFill>
                    <w14:schemeClr w14:val="tx1"/>
                  </w14:solidFill>
                </w14:textFill>
              </w:rPr>
            </w:pPr>
          </w:p>
        </w:tc>
        <w:tc>
          <w:tcPr>
            <w:tcW w:w="962" w:type="pct"/>
            <w:tcBorders>
              <w:top w:val="single" w:color="000000" w:sz="4" w:space="0"/>
            </w:tcBorders>
          </w:tcPr>
          <w:p w14:paraId="1A72A4E3">
            <w:pPr>
              <w:rPr>
                <w:rFonts w:ascii="宋体" w:hAnsi="宋体"/>
                <w:color w:val="000000" w:themeColor="text1"/>
                <w:szCs w:val="24"/>
                <w14:textFill>
                  <w14:solidFill>
                    <w14:schemeClr w14:val="tx1"/>
                  </w14:solidFill>
                </w14:textFill>
              </w:rPr>
            </w:pPr>
          </w:p>
        </w:tc>
        <w:tc>
          <w:tcPr>
            <w:tcW w:w="3484" w:type="pct"/>
            <w:tcBorders>
              <w:top w:val="single" w:color="000000" w:sz="4" w:space="0"/>
            </w:tcBorders>
          </w:tcPr>
          <w:p w14:paraId="3B2C51DC">
            <w:pPr>
              <w:rPr>
                <w:rFonts w:ascii="宋体" w:hAnsi="宋体"/>
                <w:color w:val="000000" w:themeColor="text1"/>
                <w:szCs w:val="24"/>
                <w14:textFill>
                  <w14:solidFill>
                    <w14:schemeClr w14:val="tx1"/>
                  </w14:solidFill>
                </w14:textFill>
              </w:rPr>
            </w:pPr>
          </w:p>
        </w:tc>
      </w:tr>
      <w:tr w14:paraId="1B8F7C49">
        <w:tblPrEx>
          <w:tblCellMar>
            <w:top w:w="0" w:type="dxa"/>
            <w:left w:w="108" w:type="dxa"/>
            <w:bottom w:w="0" w:type="dxa"/>
            <w:right w:w="108" w:type="dxa"/>
          </w:tblCellMar>
        </w:tblPrEx>
        <w:tc>
          <w:tcPr>
            <w:tcW w:w="552" w:type="pct"/>
          </w:tcPr>
          <w:p w14:paraId="6536C775">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5</w:t>
            </w:r>
            <w:r>
              <w:rPr>
                <w:rFonts w:ascii="宋体" w:hAnsi="宋体"/>
                <w:b/>
                <w:color w:val="000000" w:themeColor="text1"/>
                <w:szCs w:val="24"/>
                <w14:textFill>
                  <w14:solidFill>
                    <w14:schemeClr w14:val="tx1"/>
                  </w14:solidFill>
                </w14:textFill>
              </w:rPr>
              <w:t>.1</w:t>
            </w:r>
          </w:p>
        </w:tc>
        <w:tc>
          <w:tcPr>
            <w:tcW w:w="962" w:type="pct"/>
          </w:tcPr>
          <w:p w14:paraId="018EBF54">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受益人的指定与变更</w:t>
            </w:r>
          </w:p>
        </w:tc>
        <w:tc>
          <w:tcPr>
            <w:tcW w:w="3484" w:type="pct"/>
          </w:tcPr>
          <w:p w14:paraId="5C4EBB9A">
            <w:pPr>
              <w:rPr>
                <w:rFonts w:ascii="宋体" w:hAnsi="宋体" w:cs="宋体"/>
              </w:rPr>
            </w:pPr>
            <w:r>
              <w:rPr>
                <w:rFonts w:ascii="宋体" w:hAnsi="宋体" w:cs="宋体"/>
              </w:rPr>
              <w:t>您或者被保险人可以指定一人或多人为身故保险金受益人</w:t>
            </w:r>
            <w:r>
              <w:rPr>
                <w:rFonts w:hint="eastAsia" w:ascii="宋体" w:hAnsi="宋体" w:cs="宋体"/>
              </w:rPr>
              <w:t>，指定或变更身故保险金受益人时，应当经被保险人的同意</w:t>
            </w:r>
            <w:r>
              <w:rPr>
                <w:rFonts w:ascii="宋体" w:hAnsi="宋体" w:cs="宋体"/>
              </w:rPr>
              <w:t>。</w:t>
            </w:r>
          </w:p>
          <w:p w14:paraId="537FE4BA">
            <w:pPr>
              <w:rPr>
                <w:rFonts w:ascii="宋体" w:hAnsi="宋体" w:cs="宋体"/>
              </w:rPr>
            </w:pPr>
            <w:r>
              <w:rPr>
                <w:rFonts w:ascii="宋体" w:hAnsi="宋体" w:cs="宋体"/>
              </w:rPr>
              <w:t>身故保险金受益人为多人时，您或者被保险人可以确定受益顺序和受益份额；同一受益顺序如果没有确定受益份额，各受益人按照相等份额享有受益权；没有确定受益顺序的</w:t>
            </w:r>
            <w:r>
              <w:rPr>
                <w:rFonts w:hint="eastAsia" w:ascii="宋体" w:hAnsi="宋体" w:cs="宋体"/>
              </w:rPr>
              <w:t>，</w:t>
            </w:r>
            <w:r>
              <w:rPr>
                <w:rFonts w:ascii="宋体" w:hAnsi="宋体" w:cs="宋体"/>
              </w:rPr>
              <w:t>各受益人按同一顺序享有受益权。</w:t>
            </w:r>
          </w:p>
          <w:p w14:paraId="6C769A72">
            <w:pPr>
              <w:rPr>
                <w:rFonts w:ascii="宋体" w:hAnsi="宋体" w:cs="宋体"/>
              </w:rPr>
            </w:pPr>
            <w:r>
              <w:rPr>
                <w:rFonts w:ascii="宋体" w:hAnsi="宋体" w:cs="宋体"/>
              </w:rPr>
              <w:t>被保险人为无民事行为能力人或限制民事行为能力人的，可以由其监护人指定受益人。</w:t>
            </w:r>
          </w:p>
          <w:p w14:paraId="1D0FF051">
            <w:pPr>
              <w:rPr>
                <w:rFonts w:ascii="宋体" w:hAnsi="宋体" w:cs="宋体"/>
              </w:rPr>
            </w:pPr>
            <w:r>
              <w:rPr>
                <w:rFonts w:ascii="宋体" w:hAnsi="宋体" w:cs="宋体"/>
              </w:rPr>
              <w:t>您或者被保险人可以变更身故保险金受益人并书面通知</w:t>
            </w:r>
            <w:r>
              <w:rPr>
                <w:rFonts w:hint="eastAsia" w:ascii="宋体" w:hAnsi="宋体" w:cs="宋体"/>
              </w:rPr>
              <w:t>我们</w:t>
            </w:r>
            <w:r>
              <w:rPr>
                <w:rFonts w:ascii="宋体" w:hAnsi="宋体" w:cs="宋体"/>
              </w:rPr>
              <w:t>。我们收到变更受益人的书面通知后，在保险单或其他保险凭证上批注或附贴批单。</w:t>
            </w:r>
          </w:p>
          <w:p w14:paraId="0783124B">
            <w:pPr>
              <w:rPr>
                <w:rFonts w:ascii="宋体" w:hAnsi="宋体" w:cs="宋体"/>
              </w:rPr>
            </w:pPr>
            <w:r>
              <w:rPr>
                <w:rFonts w:ascii="宋体" w:hAnsi="宋体" w:cs="宋体"/>
              </w:rPr>
              <w:t>您在指定和变更身故保险金受益人时，必须经过被保险人书面同意。被保险人身故后，有下列情形之一的，保险金作为被保险人的遗产，由我们依照</w:t>
            </w:r>
            <w:r>
              <w:rPr>
                <w:rFonts w:hint="eastAsia" w:ascii="宋体" w:hAnsi="宋体" w:cs="宋体"/>
                <w:lang w:val="en-US" w:eastAsia="zh-CN"/>
              </w:rPr>
              <w:t>被保险人身故时现行有效的</w:t>
            </w:r>
            <w:r>
              <w:rPr>
                <w:rFonts w:hint="eastAsia" w:ascii="宋体" w:hAnsi="宋体" w:cs="宋体"/>
              </w:rPr>
              <w:t>有关继承</w:t>
            </w:r>
            <w:r>
              <w:rPr>
                <w:rFonts w:hint="eastAsia" w:ascii="宋体" w:hAnsi="宋体" w:cs="宋体"/>
                <w:lang w:val="en-US" w:eastAsia="zh-CN"/>
              </w:rPr>
              <w:t>法</w:t>
            </w:r>
            <w:r>
              <w:rPr>
                <w:rFonts w:hint="eastAsia" w:ascii="宋体" w:hAnsi="宋体" w:cs="宋体"/>
              </w:rPr>
              <w:t>的法律</w:t>
            </w:r>
            <w:r>
              <w:rPr>
                <w:rFonts w:ascii="宋体" w:hAnsi="宋体" w:cs="宋体"/>
              </w:rPr>
              <w:t>规定履行给付保险金的义务：</w:t>
            </w:r>
          </w:p>
          <w:p w14:paraId="4A6189EF">
            <w:pPr>
              <w:numPr>
                <w:ilvl w:val="0"/>
                <w:numId w:val="11"/>
              </w:numPr>
              <w:ind w:left="425" w:leftChars="0" w:hanging="425" w:firstLineChars="0"/>
              <w:rPr>
                <w:rFonts w:ascii="宋体" w:hAnsi="宋体" w:cs="宋体"/>
              </w:rPr>
            </w:pPr>
            <w:r>
              <w:rPr>
                <w:rFonts w:ascii="宋体" w:hAnsi="宋体" w:cs="宋体"/>
              </w:rPr>
              <w:t>没有指定受益人，或者受益人指定不明无法确定的；</w:t>
            </w:r>
          </w:p>
          <w:p w14:paraId="1AF562A1">
            <w:pPr>
              <w:numPr>
                <w:ilvl w:val="0"/>
                <w:numId w:val="11"/>
              </w:numPr>
              <w:ind w:left="425" w:leftChars="0" w:hanging="425" w:firstLineChars="0"/>
              <w:rPr>
                <w:rFonts w:ascii="宋体" w:hAnsi="宋体" w:cs="宋体"/>
              </w:rPr>
            </w:pPr>
            <w:r>
              <w:rPr>
                <w:rFonts w:ascii="宋体" w:hAnsi="宋体" w:cs="宋体"/>
              </w:rPr>
              <w:t>受益人先于被保险人身故，没有其他受益人的；</w:t>
            </w:r>
          </w:p>
          <w:p w14:paraId="52D574EE">
            <w:pPr>
              <w:numPr>
                <w:ilvl w:val="0"/>
                <w:numId w:val="11"/>
              </w:numPr>
              <w:ind w:left="425" w:leftChars="0" w:hanging="425" w:firstLineChars="0"/>
              <w:rPr>
                <w:rFonts w:ascii="宋体" w:hAnsi="宋体" w:cs="宋体"/>
              </w:rPr>
            </w:pPr>
            <w:r>
              <w:rPr>
                <w:rFonts w:ascii="宋体" w:hAnsi="宋体" w:cs="宋体"/>
              </w:rPr>
              <w:t>受益人依法丧失受益权或者放弃受益权，没有其他受益人的。</w:t>
            </w:r>
          </w:p>
          <w:p w14:paraId="61F3C260">
            <w:pPr>
              <w:rPr>
                <w:rFonts w:ascii="宋体" w:hAnsi="宋体" w:cs="宋体"/>
              </w:rPr>
            </w:pPr>
            <w:r>
              <w:rPr>
                <w:rFonts w:ascii="宋体" w:hAnsi="宋体" w:cs="宋体"/>
              </w:rPr>
              <w:t>受益人与被保险人在同一事件中身故，且不能确定身故先后顺序的，推定受益人身故在先。受益人故意造成被保险人身故、伤残、疾病的，或者故意杀害被保险人未遂的，该受益人丧失受益权。</w:t>
            </w:r>
          </w:p>
          <w:p w14:paraId="5F74B6A3">
            <w:pPr>
              <w:rPr>
                <w:rFonts w:ascii="宋体" w:hAnsi="宋体"/>
                <w:b/>
                <w:color w:val="000000" w:themeColor="text1"/>
                <w:szCs w:val="24"/>
                <w14:textFill>
                  <w14:solidFill>
                    <w14:schemeClr w14:val="tx1"/>
                  </w14:solidFill>
                </w14:textFill>
              </w:rPr>
            </w:pPr>
            <w:r>
              <w:rPr>
                <w:rFonts w:ascii="宋体" w:hAnsi="宋体" w:cs="宋体"/>
                <w:b/>
              </w:rPr>
              <w:t>除</w:t>
            </w:r>
            <w:r>
              <w:rPr>
                <w:rFonts w:hint="eastAsia" w:ascii="宋体" w:hAnsi="宋体" w:cs="宋体"/>
                <w:b/>
                <w:lang w:val="en-US" w:eastAsia="zh-CN"/>
              </w:rPr>
              <w:t>本主险合同</w:t>
            </w:r>
            <w:r>
              <w:rPr>
                <w:rFonts w:ascii="宋体" w:hAnsi="宋体" w:cs="宋体"/>
                <w:b/>
              </w:rPr>
              <w:t>另有约定外，</w:t>
            </w:r>
            <w:r>
              <w:rPr>
                <w:rFonts w:hint="eastAsia" w:ascii="宋体" w:hAnsi="宋体" w:cs="宋体"/>
                <w:b/>
                <w:lang w:val="en-US" w:eastAsia="zh-CN"/>
              </w:rPr>
              <w:t>特定</w:t>
            </w:r>
            <w:r>
              <w:rPr>
                <w:rFonts w:hint="eastAsia" w:ascii="宋体" w:hAnsi="宋体" w:cs="宋体"/>
                <w:b/>
              </w:rPr>
              <w:t>疾病保险金</w:t>
            </w:r>
            <w:r>
              <w:rPr>
                <w:rFonts w:hint="eastAsia" w:ascii="宋体" w:hAnsi="宋体" w:cs="宋体"/>
                <w:b/>
                <w:lang w:val="en-US" w:eastAsia="zh-CN"/>
              </w:rPr>
              <w:t>和一般医疗</w:t>
            </w:r>
            <w:r>
              <w:rPr>
                <w:rFonts w:hint="eastAsia" w:ascii="宋体" w:hAnsi="宋体" w:cs="宋体"/>
                <w:b/>
              </w:rPr>
              <w:t>保险金</w:t>
            </w:r>
            <w:r>
              <w:rPr>
                <w:rFonts w:ascii="宋体" w:hAnsi="宋体" w:cs="宋体"/>
                <w:b/>
              </w:rPr>
              <w:t>的受益人为被保险人本人。</w:t>
            </w:r>
          </w:p>
        </w:tc>
      </w:tr>
      <w:tr w14:paraId="51933D84">
        <w:tblPrEx>
          <w:tblCellMar>
            <w:top w:w="0" w:type="dxa"/>
            <w:left w:w="108" w:type="dxa"/>
            <w:bottom w:w="0" w:type="dxa"/>
            <w:right w:w="108" w:type="dxa"/>
          </w:tblCellMar>
        </w:tblPrEx>
        <w:tc>
          <w:tcPr>
            <w:tcW w:w="552" w:type="pct"/>
          </w:tcPr>
          <w:p w14:paraId="6A9FB3AA">
            <w:pPr>
              <w:jc w:val="center"/>
              <w:rPr>
                <w:rFonts w:ascii="宋体" w:hAnsi="宋体"/>
                <w:b/>
                <w:color w:val="000000" w:themeColor="text1"/>
                <w:szCs w:val="24"/>
                <w14:textFill>
                  <w14:solidFill>
                    <w14:schemeClr w14:val="tx1"/>
                  </w14:solidFill>
                </w14:textFill>
              </w:rPr>
            </w:pPr>
          </w:p>
        </w:tc>
        <w:tc>
          <w:tcPr>
            <w:tcW w:w="962" w:type="pct"/>
          </w:tcPr>
          <w:p w14:paraId="0BBC74FA">
            <w:pPr>
              <w:rPr>
                <w:rFonts w:ascii="宋体" w:hAnsi="宋体"/>
                <w:b/>
                <w:color w:val="000000" w:themeColor="text1"/>
                <w:szCs w:val="24"/>
                <w14:textFill>
                  <w14:solidFill>
                    <w14:schemeClr w14:val="tx1"/>
                  </w14:solidFill>
                </w14:textFill>
              </w:rPr>
            </w:pPr>
          </w:p>
        </w:tc>
        <w:tc>
          <w:tcPr>
            <w:tcW w:w="3484" w:type="pct"/>
          </w:tcPr>
          <w:p w14:paraId="57E043BB">
            <w:pPr>
              <w:rPr>
                <w:rFonts w:ascii="宋体" w:hAnsi="宋体"/>
                <w:color w:val="000000" w:themeColor="text1"/>
                <w:szCs w:val="24"/>
                <w14:textFill>
                  <w14:solidFill>
                    <w14:schemeClr w14:val="tx1"/>
                  </w14:solidFill>
                </w14:textFill>
              </w:rPr>
            </w:pPr>
          </w:p>
        </w:tc>
      </w:tr>
      <w:tr w14:paraId="736697E3">
        <w:tblPrEx>
          <w:tblCellMar>
            <w:top w:w="0" w:type="dxa"/>
            <w:left w:w="108" w:type="dxa"/>
            <w:bottom w:w="0" w:type="dxa"/>
            <w:right w:w="108" w:type="dxa"/>
          </w:tblCellMar>
        </w:tblPrEx>
        <w:tc>
          <w:tcPr>
            <w:tcW w:w="552" w:type="pct"/>
          </w:tcPr>
          <w:p w14:paraId="18ABCFF7">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5</w:t>
            </w:r>
            <w:r>
              <w:rPr>
                <w:rFonts w:ascii="宋体" w:hAnsi="宋体"/>
                <w:b/>
                <w:color w:val="000000" w:themeColor="text1"/>
                <w:szCs w:val="24"/>
                <w14:textFill>
                  <w14:solidFill>
                    <w14:schemeClr w14:val="tx1"/>
                  </w14:solidFill>
                </w14:textFill>
              </w:rPr>
              <w:t>.</w:t>
            </w:r>
            <w:r>
              <w:rPr>
                <w:rFonts w:hint="eastAsia" w:ascii="宋体" w:hAnsi="宋体"/>
                <w:b/>
                <w:color w:val="000000" w:themeColor="text1"/>
                <w:szCs w:val="24"/>
                <w14:textFill>
                  <w14:solidFill>
                    <w14:schemeClr w14:val="tx1"/>
                  </w14:solidFill>
                </w14:textFill>
              </w:rPr>
              <w:t>2</w:t>
            </w:r>
          </w:p>
        </w:tc>
        <w:tc>
          <w:tcPr>
            <w:tcW w:w="962" w:type="pct"/>
          </w:tcPr>
          <w:p w14:paraId="1255F67F">
            <w:pPr>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保险事故通知</w:t>
            </w:r>
          </w:p>
        </w:tc>
        <w:tc>
          <w:tcPr>
            <w:tcW w:w="3484" w:type="pct"/>
          </w:tcPr>
          <w:p w14:paraId="06DE2FB8">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请您、被保险人或受益人在知道保险事故发生后10日</w:t>
            </w:r>
            <w:r>
              <w:rPr>
                <w:rFonts w:ascii="宋体" w:hAnsi="宋体"/>
                <w:color w:val="000000" w:themeColor="text1"/>
                <w14:textFill>
                  <w14:solidFill>
                    <w14:schemeClr w14:val="tx1"/>
                  </w14:solidFill>
                </w14:textFill>
              </w:rPr>
              <w:t>内通知我们</w:t>
            </w:r>
            <w:r>
              <w:rPr>
                <w:rFonts w:hint="eastAsia" w:ascii="宋体" w:hAnsi="宋体"/>
                <w:color w:val="000000" w:themeColor="text1"/>
                <w14:textFill>
                  <w14:solidFill>
                    <w14:schemeClr w14:val="tx1"/>
                  </w14:solidFill>
                </w14:textFill>
              </w:rPr>
              <w:t>。</w:t>
            </w:r>
          </w:p>
          <w:p w14:paraId="14D9678F">
            <w:pPr>
              <w:rPr>
                <w:rFonts w:ascii="宋体" w:hAnsi="宋体"/>
                <w:color w:val="000000" w:themeColor="text1"/>
                <w14:textFill>
                  <w14:solidFill>
                    <w14:schemeClr w14:val="tx1"/>
                  </w14:solidFill>
                </w14:textFill>
              </w:rPr>
            </w:pPr>
            <w:r>
              <w:rPr>
                <w:rFonts w:hint="eastAsia" w:ascii="宋体" w:hAnsi="宋体"/>
                <w:color w:val="000000" w:themeColor="text1"/>
                <w:shd w:val="pct10" w:color="auto" w:fill="FFFFFF"/>
                <w14:textFill>
                  <w14:solidFill>
                    <w14:schemeClr w14:val="tx1"/>
                  </w14:solidFill>
                </w14:textFill>
              </w:rPr>
              <w:t>如果您、被保险人或受益人故意或者因重大过失未及时通知，致使保险事故的性质、原因、损失程度等难以确定的，我们对无法确定的部分，不承担给付保险金的责任，</w:t>
            </w:r>
            <w:r>
              <w:rPr>
                <w:rFonts w:hint="eastAsia" w:ascii="宋体" w:hAnsi="宋体"/>
                <w:color w:val="000000" w:themeColor="text1"/>
                <w14:textFill>
                  <w14:solidFill>
                    <w14:schemeClr w14:val="tx1"/>
                  </w14:solidFill>
                </w14:textFill>
              </w:rPr>
              <w:t>但我们通过其他途径已经及时知道或者应当及时知道保险事故发生或者虽未及时通知但不影响我们确定保险事故的性质、原因、损失程度的除外。</w:t>
            </w:r>
          </w:p>
        </w:tc>
      </w:tr>
      <w:tr w14:paraId="7A13F02E">
        <w:tblPrEx>
          <w:tblCellMar>
            <w:top w:w="0" w:type="dxa"/>
            <w:left w:w="108" w:type="dxa"/>
            <w:bottom w:w="0" w:type="dxa"/>
            <w:right w:w="108" w:type="dxa"/>
          </w:tblCellMar>
        </w:tblPrEx>
        <w:tc>
          <w:tcPr>
            <w:tcW w:w="552" w:type="pct"/>
          </w:tcPr>
          <w:p w14:paraId="41DDCF7C">
            <w:pPr>
              <w:jc w:val="center"/>
              <w:rPr>
                <w:rFonts w:ascii="宋体" w:hAnsi="宋体"/>
                <w:b/>
                <w:color w:val="000000" w:themeColor="text1"/>
                <w:szCs w:val="24"/>
                <w:highlight w:val="yellow"/>
                <w14:textFill>
                  <w14:solidFill>
                    <w14:schemeClr w14:val="tx1"/>
                  </w14:solidFill>
                </w14:textFill>
              </w:rPr>
            </w:pPr>
          </w:p>
        </w:tc>
        <w:tc>
          <w:tcPr>
            <w:tcW w:w="962" w:type="pct"/>
          </w:tcPr>
          <w:p w14:paraId="756D90CD">
            <w:pPr>
              <w:rPr>
                <w:rFonts w:ascii="宋体" w:hAnsi="宋体"/>
                <w:b/>
                <w:color w:val="000000" w:themeColor="text1"/>
                <w:highlight w:val="yellow"/>
                <w14:textFill>
                  <w14:solidFill>
                    <w14:schemeClr w14:val="tx1"/>
                  </w14:solidFill>
                </w14:textFill>
              </w:rPr>
            </w:pPr>
          </w:p>
        </w:tc>
        <w:tc>
          <w:tcPr>
            <w:tcW w:w="3484" w:type="pct"/>
          </w:tcPr>
          <w:p w14:paraId="0758F0A0">
            <w:pPr>
              <w:rPr>
                <w:rFonts w:ascii="宋体" w:hAnsi="宋体"/>
                <w:color w:val="000000" w:themeColor="text1"/>
                <w:highlight w:val="yellow"/>
                <w14:textFill>
                  <w14:solidFill>
                    <w14:schemeClr w14:val="tx1"/>
                  </w14:solidFill>
                </w14:textFill>
              </w:rPr>
            </w:pPr>
          </w:p>
        </w:tc>
      </w:tr>
      <w:tr w14:paraId="0152A6B9">
        <w:tblPrEx>
          <w:tblCellMar>
            <w:top w:w="0" w:type="dxa"/>
            <w:left w:w="108" w:type="dxa"/>
            <w:bottom w:w="0" w:type="dxa"/>
            <w:right w:w="108" w:type="dxa"/>
          </w:tblCellMar>
        </w:tblPrEx>
        <w:tc>
          <w:tcPr>
            <w:tcW w:w="552" w:type="pct"/>
          </w:tcPr>
          <w:p w14:paraId="69F20E8B">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5</w:t>
            </w:r>
            <w:r>
              <w:rPr>
                <w:rFonts w:ascii="宋体" w:hAnsi="宋体"/>
                <w:b/>
                <w:color w:val="000000" w:themeColor="text1"/>
                <w:szCs w:val="24"/>
                <w14:textFill>
                  <w14:solidFill>
                    <w14:schemeClr w14:val="tx1"/>
                  </w14:solidFill>
                </w14:textFill>
              </w:rPr>
              <w:t>.</w:t>
            </w:r>
            <w:r>
              <w:rPr>
                <w:rFonts w:hint="eastAsia" w:ascii="宋体" w:hAnsi="宋体"/>
                <w:b/>
                <w:color w:val="000000" w:themeColor="text1"/>
                <w:szCs w:val="24"/>
                <w14:textFill>
                  <w14:solidFill>
                    <w14:schemeClr w14:val="tx1"/>
                  </w14:solidFill>
                </w14:textFill>
              </w:rPr>
              <w:t>3</w:t>
            </w:r>
          </w:p>
        </w:tc>
        <w:tc>
          <w:tcPr>
            <w:tcW w:w="962" w:type="pct"/>
          </w:tcPr>
          <w:p w14:paraId="0624D1D3">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保险金申请</w:t>
            </w:r>
          </w:p>
        </w:tc>
        <w:tc>
          <w:tcPr>
            <w:tcW w:w="3484" w:type="pct"/>
          </w:tcPr>
          <w:p w14:paraId="4D9251A3">
            <w:pPr>
              <w:ind w:left="-111" w:leftChars="-5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在申请保险金时，请按照下列方式办理：</w:t>
            </w:r>
          </w:p>
        </w:tc>
      </w:tr>
      <w:tr w14:paraId="39ECFCA9">
        <w:tblPrEx>
          <w:tblCellMar>
            <w:top w:w="0" w:type="dxa"/>
            <w:left w:w="108" w:type="dxa"/>
            <w:bottom w:w="0" w:type="dxa"/>
            <w:right w:w="108" w:type="dxa"/>
          </w:tblCellMar>
        </w:tblPrEx>
        <w:tc>
          <w:tcPr>
            <w:tcW w:w="552" w:type="pct"/>
          </w:tcPr>
          <w:p w14:paraId="5AD2A5C7">
            <w:pPr>
              <w:jc w:val="center"/>
              <w:rPr>
                <w:rFonts w:ascii="宋体" w:hAnsi="宋体"/>
                <w:b/>
                <w:color w:val="000000" w:themeColor="text1"/>
                <w:szCs w:val="24"/>
                <w14:textFill>
                  <w14:solidFill>
                    <w14:schemeClr w14:val="tx1"/>
                  </w14:solidFill>
                </w14:textFill>
              </w:rPr>
            </w:pPr>
          </w:p>
        </w:tc>
        <w:tc>
          <w:tcPr>
            <w:tcW w:w="962" w:type="pct"/>
          </w:tcPr>
          <w:p w14:paraId="5E2EA154">
            <w:pPr>
              <w:rPr>
                <w:rFonts w:ascii="宋体" w:hAnsi="宋体"/>
                <w:b/>
                <w:color w:val="000000" w:themeColor="text1"/>
                <w14:textFill>
                  <w14:solidFill>
                    <w14:schemeClr w14:val="tx1"/>
                  </w14:solidFill>
                </w14:textFill>
              </w:rPr>
            </w:pPr>
          </w:p>
        </w:tc>
        <w:tc>
          <w:tcPr>
            <w:tcW w:w="3484" w:type="pct"/>
          </w:tcPr>
          <w:p w14:paraId="3DEFF73F">
            <w:pPr>
              <w:ind w:left="-111" w:leftChars="-53"/>
              <w:rPr>
                <w:rFonts w:ascii="宋体" w:hAnsi="宋体"/>
                <w:color w:val="000000" w:themeColor="text1"/>
                <w14:textFill>
                  <w14:solidFill>
                    <w14:schemeClr w14:val="tx1"/>
                  </w14:solidFill>
                </w14:textFill>
              </w:rPr>
            </w:pPr>
          </w:p>
        </w:tc>
      </w:tr>
      <w:tr w14:paraId="5EBE6A24">
        <w:tblPrEx>
          <w:tblCellMar>
            <w:top w:w="0" w:type="dxa"/>
            <w:left w:w="108" w:type="dxa"/>
            <w:bottom w:w="0" w:type="dxa"/>
            <w:right w:w="108" w:type="dxa"/>
          </w:tblCellMar>
        </w:tblPrEx>
        <w:trPr>
          <w:trHeight w:val="284" w:hRule="atLeast"/>
          <w:jc w:val="center"/>
        </w:trPr>
        <w:tc>
          <w:tcPr>
            <w:tcW w:w="552" w:type="pct"/>
          </w:tcPr>
          <w:p w14:paraId="53A5B1E4">
            <w:pPr>
              <w:jc w:val="center"/>
              <w:rPr>
                <w:rFonts w:hint="default" w:ascii="宋体" w:eastAsia="宋体"/>
                <w:strike/>
                <w:color w:val="000000" w:themeColor="text1"/>
                <w:lang w:val="en-US" w:eastAsia="zh-CN"/>
                <w14:textFill>
                  <w14:solidFill>
                    <w14:schemeClr w14:val="tx1"/>
                  </w14:solidFill>
                </w14:textFill>
              </w:rPr>
            </w:pPr>
            <w:r>
              <w:rPr>
                <w:rFonts w:hint="default" w:asciiTheme="minorHAnsi" w:hAnsiTheme="minorHAnsi" w:cstheme="minorHAnsi"/>
                <w:b/>
                <w:strike w:val="0"/>
                <w:lang w:val="en-US" w:eastAsia="zh-CN"/>
              </w:rPr>
              <w:t>5.3.1</w:t>
            </w:r>
          </w:p>
        </w:tc>
        <w:tc>
          <w:tcPr>
            <w:tcW w:w="962" w:type="pct"/>
          </w:tcPr>
          <w:p w14:paraId="16A65125">
            <w:pPr>
              <w:spacing w:line="320" w:lineRule="exact"/>
              <w:rPr>
                <w:rFonts w:hint="default" w:ascii="华文新魏" w:hAnsi="宋体" w:eastAsia="华文新魏"/>
                <w:b/>
                <w:color w:val="000000" w:themeColor="text1"/>
                <w:sz w:val="24"/>
                <w:lang w:val="en-US" w:eastAsia="zh-CN"/>
                <w14:textFill>
                  <w14:solidFill>
                    <w14:schemeClr w14:val="tx1"/>
                  </w14:solidFill>
                </w14:textFill>
              </w:rPr>
            </w:pPr>
            <w:r>
              <w:rPr>
                <w:rFonts w:hint="eastAsia" w:ascii="华文新魏" w:hAnsi="宋体" w:eastAsia="华文新魏"/>
                <w:b/>
                <w:color w:val="000000" w:themeColor="text1"/>
                <w:sz w:val="24"/>
                <w:lang w:val="en-US" w:eastAsia="zh-CN"/>
                <w14:textFill>
                  <w14:solidFill>
                    <w14:schemeClr w14:val="tx1"/>
                  </w14:solidFill>
                </w14:textFill>
              </w:rPr>
              <w:t>特定</w:t>
            </w:r>
            <w:r>
              <w:rPr>
                <w:rFonts w:hint="eastAsia" w:ascii="华文新魏" w:hAnsi="宋体" w:eastAsia="华文新魏"/>
                <w:b/>
                <w:color w:val="000000" w:themeColor="text1"/>
                <w:sz w:val="24"/>
                <w14:textFill>
                  <w14:solidFill>
                    <w14:schemeClr w14:val="tx1"/>
                  </w14:solidFill>
                </w14:textFill>
              </w:rPr>
              <w:t>疾病保险金</w:t>
            </w:r>
            <w:r>
              <w:rPr>
                <w:rFonts w:hint="eastAsia" w:ascii="华文新魏" w:hAnsi="宋体" w:eastAsia="华文新魏"/>
                <w:b/>
                <w:color w:val="000000" w:themeColor="text1"/>
                <w:sz w:val="24"/>
                <w:lang w:val="en-US" w:eastAsia="zh-CN"/>
                <w14:textFill>
                  <w14:solidFill>
                    <w14:schemeClr w14:val="tx1"/>
                  </w14:solidFill>
                </w14:textFill>
              </w:rPr>
              <w:t>的申请</w:t>
            </w:r>
          </w:p>
        </w:tc>
        <w:tc>
          <w:tcPr>
            <w:tcW w:w="3484" w:type="pct"/>
          </w:tcPr>
          <w:p w14:paraId="240C5252">
            <w:pPr>
              <w:rPr>
                <w:rFonts w:asciiTheme="minorEastAsia" w:hAnsiTheme="minorEastAsia" w:eastAsiaTheme="minorEastAsia"/>
              </w:rPr>
            </w:pPr>
            <w:r>
              <w:rPr>
                <w:rFonts w:hint="eastAsia" w:ascii="宋体" w:hAnsi="宋体"/>
                <w:color w:val="000000" w:themeColor="text1"/>
                <w14:textFill>
                  <w14:solidFill>
                    <w14:schemeClr w14:val="tx1"/>
                  </w14:solidFill>
                </w14:textFill>
              </w:rPr>
              <w:t>由</w:t>
            </w:r>
            <w:r>
              <w:rPr>
                <w:rFonts w:hint="eastAsia" w:ascii="宋体" w:hAnsi="宋体"/>
              </w:rPr>
              <w:t>受益人</w:t>
            </w:r>
            <w:r>
              <w:rPr>
                <w:rFonts w:hint="eastAsia" w:ascii="宋体" w:hAnsi="宋体"/>
                <w:color w:val="000000" w:themeColor="text1"/>
                <w14:textFill>
                  <w14:solidFill>
                    <w14:schemeClr w14:val="tx1"/>
                  </w14:solidFill>
                </w14:textFill>
              </w:rPr>
              <w:t>填写保险金给付申请书，并提供下列证明和资料：</w:t>
            </w:r>
          </w:p>
          <w:p w14:paraId="4B978A75">
            <w:pPr>
              <w:numPr>
                <w:ilvl w:val="0"/>
                <w:numId w:val="12"/>
              </w:numPr>
              <w:ind w:left="425" w:leftChars="0" w:hanging="425" w:firstLineChars="0"/>
              <w:rPr>
                <w:rFonts w:asciiTheme="minorEastAsia" w:hAnsiTheme="minorEastAsia" w:eastAsiaTheme="minorEastAsia"/>
              </w:rPr>
            </w:pPr>
            <w:r>
              <w:rPr>
                <w:rFonts w:hint="eastAsia" w:asciiTheme="minorEastAsia" w:hAnsiTheme="minorEastAsia" w:eastAsiaTheme="minorEastAsia"/>
              </w:rPr>
              <w:t>保险合同；</w:t>
            </w:r>
          </w:p>
          <w:p w14:paraId="1CA33337">
            <w:pPr>
              <w:numPr>
                <w:ilvl w:val="0"/>
                <w:numId w:val="12"/>
              </w:numPr>
              <w:ind w:left="425" w:leftChars="0" w:hanging="425" w:firstLineChars="0"/>
              <w:rPr>
                <w:rFonts w:asciiTheme="minorEastAsia" w:hAnsiTheme="minorEastAsia" w:eastAsiaTheme="minorEastAsia"/>
              </w:rPr>
            </w:pPr>
            <w:r>
              <w:rPr>
                <w:rFonts w:asciiTheme="minorEastAsia" w:hAnsiTheme="minorEastAsia" w:eastAsiaTheme="minorEastAsia"/>
              </w:rPr>
              <w:t>受益人</w:t>
            </w:r>
            <w:r>
              <w:rPr>
                <w:rFonts w:hint="eastAsia" w:asciiTheme="minorEastAsia" w:hAnsiTheme="minorEastAsia" w:eastAsiaTheme="minorEastAsia"/>
                <w:lang w:val="en-US" w:eastAsia="zh-CN"/>
              </w:rPr>
              <w:t>和被保险人</w:t>
            </w:r>
            <w:r>
              <w:rPr>
                <w:rFonts w:asciiTheme="minorEastAsia" w:hAnsiTheme="minorEastAsia" w:eastAsiaTheme="minorEastAsia"/>
              </w:rPr>
              <w:t>的有效身份证件；</w:t>
            </w:r>
          </w:p>
          <w:p w14:paraId="5D4CFD80">
            <w:pPr>
              <w:numPr>
                <w:ilvl w:val="0"/>
                <w:numId w:val="12"/>
              </w:numPr>
              <w:ind w:left="425" w:leftChars="0" w:hanging="425" w:firstLineChars="0"/>
              <w:rPr>
                <w:rFonts w:asciiTheme="minorEastAsia" w:hAnsiTheme="minorEastAsia" w:eastAsiaTheme="minorEastAsia"/>
              </w:rPr>
            </w:pPr>
            <w:r>
              <w:rPr>
                <w:rFonts w:asciiTheme="minorEastAsia" w:hAnsiTheme="minorEastAsia" w:eastAsiaTheme="minorEastAsia"/>
              </w:rPr>
              <w:t>由我们认可的医院专科医生出具的疾病诊断证明书、病历记录，以及由我们认可的医院出具的确诊疾病必需的病理显微镜检查、血液检查、影像学检查及其他医学检验报告；</w:t>
            </w:r>
          </w:p>
          <w:p w14:paraId="0E959681">
            <w:pPr>
              <w:numPr>
                <w:ilvl w:val="0"/>
                <w:numId w:val="12"/>
              </w:numPr>
              <w:ind w:left="425" w:leftChars="0" w:hanging="425" w:firstLineChars="0"/>
            </w:pPr>
            <w:r>
              <w:rPr>
                <w:rFonts w:asciiTheme="minorEastAsia" w:hAnsiTheme="minorEastAsia" w:eastAsiaTheme="minorEastAsia"/>
              </w:rPr>
              <w:t>所能提供的与确认保险事故的性质、原因等有关的其他证明和资料</w:t>
            </w:r>
            <w:r>
              <w:t>。</w:t>
            </w:r>
          </w:p>
          <w:p w14:paraId="33DDCAEB">
            <w:pPr>
              <w:numPr>
                <w:ilvl w:val="0"/>
                <w:numId w:val="0"/>
              </w:numPr>
              <w:ind w:leftChars="0"/>
              <w:rPr>
                <w:rFonts w:ascii="宋体" w:hAnsi="宋体"/>
                <w:color w:val="000000" w:themeColor="text1"/>
                <w14:textFill>
                  <w14:solidFill>
                    <w14:schemeClr w14:val="tx1"/>
                  </w14:solidFill>
                </w14:textFill>
              </w:rPr>
            </w:pPr>
            <w:r>
              <w:rPr>
                <w:rFonts w:asciiTheme="majorEastAsia" w:hAnsiTheme="majorEastAsia" w:eastAsiaTheme="majorEastAsia"/>
              </w:rPr>
              <w:t>以上证明和资料不完整的，我们将及时一次性通知</w:t>
            </w:r>
            <w:r>
              <w:rPr>
                <w:rFonts w:hint="eastAsia" w:asciiTheme="majorEastAsia" w:hAnsiTheme="majorEastAsia" w:eastAsiaTheme="majorEastAsia"/>
                <w:lang w:val="en-US" w:eastAsia="zh-CN"/>
              </w:rPr>
              <w:t>受益人</w:t>
            </w:r>
            <w:r>
              <w:rPr>
                <w:rFonts w:asciiTheme="majorEastAsia" w:hAnsiTheme="majorEastAsia" w:eastAsiaTheme="majorEastAsia"/>
              </w:rPr>
              <w:t>补充提供有关证明和资料。</w:t>
            </w:r>
          </w:p>
        </w:tc>
      </w:tr>
      <w:tr w14:paraId="09E54C24">
        <w:tblPrEx>
          <w:tblCellMar>
            <w:top w:w="0" w:type="dxa"/>
            <w:left w:w="108" w:type="dxa"/>
            <w:bottom w:w="0" w:type="dxa"/>
            <w:right w:w="108" w:type="dxa"/>
          </w:tblCellMar>
        </w:tblPrEx>
        <w:tc>
          <w:tcPr>
            <w:tcW w:w="552" w:type="pct"/>
          </w:tcPr>
          <w:p w14:paraId="49FADFF0">
            <w:pPr>
              <w:jc w:val="center"/>
              <w:rPr>
                <w:rFonts w:ascii="宋体" w:hAnsi="宋体"/>
                <w:b/>
                <w:color w:val="000000" w:themeColor="text1"/>
                <w:szCs w:val="24"/>
                <w:highlight w:val="yellow"/>
                <w14:textFill>
                  <w14:solidFill>
                    <w14:schemeClr w14:val="tx1"/>
                  </w14:solidFill>
                </w14:textFill>
              </w:rPr>
            </w:pPr>
          </w:p>
        </w:tc>
        <w:tc>
          <w:tcPr>
            <w:tcW w:w="962" w:type="pct"/>
          </w:tcPr>
          <w:p w14:paraId="386DD381">
            <w:pPr>
              <w:rPr>
                <w:rFonts w:ascii="宋体" w:hAnsi="宋体"/>
                <w:b/>
                <w:color w:val="000000" w:themeColor="text1"/>
                <w:highlight w:val="yellow"/>
                <w14:textFill>
                  <w14:solidFill>
                    <w14:schemeClr w14:val="tx1"/>
                  </w14:solidFill>
                </w14:textFill>
              </w:rPr>
            </w:pPr>
          </w:p>
        </w:tc>
        <w:tc>
          <w:tcPr>
            <w:tcW w:w="3484" w:type="pct"/>
          </w:tcPr>
          <w:p w14:paraId="6857C31E">
            <w:pPr>
              <w:rPr>
                <w:rFonts w:ascii="宋体" w:hAnsi="宋体"/>
                <w:color w:val="000000" w:themeColor="text1"/>
                <w:highlight w:val="yellow"/>
                <w14:textFill>
                  <w14:solidFill>
                    <w14:schemeClr w14:val="tx1"/>
                  </w14:solidFill>
                </w14:textFill>
              </w:rPr>
            </w:pPr>
          </w:p>
        </w:tc>
      </w:tr>
      <w:tr w14:paraId="1DA87404">
        <w:tblPrEx>
          <w:tblCellMar>
            <w:top w:w="0" w:type="dxa"/>
            <w:left w:w="108" w:type="dxa"/>
            <w:bottom w:w="0" w:type="dxa"/>
            <w:right w:w="108" w:type="dxa"/>
          </w:tblCellMar>
        </w:tblPrEx>
        <w:tc>
          <w:tcPr>
            <w:tcW w:w="552" w:type="pct"/>
          </w:tcPr>
          <w:p w14:paraId="3CA6A651">
            <w:pPr>
              <w:jc w:val="center"/>
              <w:rPr>
                <w:rFonts w:hint="default" w:ascii="宋体" w:hAnsi="宋体"/>
                <w:b/>
                <w:color w:val="000000" w:themeColor="text1"/>
                <w:szCs w:val="24"/>
                <w:highlight w:val="yellow"/>
                <w:lang w:val="en-US"/>
                <w14:textFill>
                  <w14:solidFill>
                    <w14:schemeClr w14:val="tx1"/>
                  </w14:solidFill>
                </w14:textFill>
              </w:rPr>
            </w:pPr>
            <w:r>
              <w:rPr>
                <w:rFonts w:hint="default" w:asciiTheme="minorHAnsi" w:hAnsiTheme="minorHAnsi" w:cstheme="minorHAnsi"/>
                <w:b/>
                <w:strike w:val="0"/>
                <w:lang w:val="en-US" w:eastAsia="zh-CN"/>
              </w:rPr>
              <w:t>5.3.</w:t>
            </w:r>
            <w:r>
              <w:rPr>
                <w:rFonts w:hint="eastAsia" w:asciiTheme="minorHAnsi" w:hAnsiTheme="minorHAnsi" w:cstheme="minorHAnsi"/>
                <w:b/>
                <w:strike w:val="0"/>
                <w:lang w:val="en-US" w:eastAsia="zh-CN"/>
              </w:rPr>
              <w:t>2</w:t>
            </w:r>
          </w:p>
        </w:tc>
        <w:tc>
          <w:tcPr>
            <w:tcW w:w="962" w:type="pct"/>
          </w:tcPr>
          <w:p w14:paraId="604755D4">
            <w:pPr>
              <w:spacing w:line="320" w:lineRule="exact"/>
              <w:rPr>
                <w:rFonts w:ascii="宋体" w:hAnsi="宋体"/>
                <w:b/>
                <w:color w:val="000000" w:themeColor="text1"/>
                <w:highlight w:val="yellow"/>
                <w14:textFill>
                  <w14:solidFill>
                    <w14:schemeClr w14:val="tx1"/>
                  </w14:solidFill>
                </w14:textFill>
              </w:rPr>
            </w:pPr>
            <w:r>
              <w:rPr>
                <w:rFonts w:hint="eastAsia" w:ascii="华文新魏" w:hAnsi="宋体" w:eastAsia="华文新魏"/>
                <w:b/>
                <w:color w:val="000000" w:themeColor="text1"/>
                <w:sz w:val="24"/>
                <w14:textFill>
                  <w14:solidFill>
                    <w14:schemeClr w14:val="tx1"/>
                  </w14:solidFill>
                </w14:textFill>
              </w:rPr>
              <w:t>身故保险金的申请</w:t>
            </w:r>
          </w:p>
        </w:tc>
        <w:tc>
          <w:tcPr>
            <w:tcW w:w="3484" w:type="pct"/>
          </w:tcPr>
          <w:p w14:paraId="5471D6E4">
            <w:pPr>
              <w:rPr>
                <w:rFonts w:asciiTheme="majorEastAsia" w:hAnsiTheme="majorEastAsia" w:eastAsiaTheme="majorEastAsia"/>
              </w:rPr>
            </w:pPr>
            <w:r>
              <w:rPr>
                <w:rFonts w:hint="eastAsia" w:ascii="宋体" w:hAnsi="宋体"/>
                <w:color w:val="000000" w:themeColor="text1"/>
                <w14:textFill>
                  <w14:solidFill>
                    <w14:schemeClr w14:val="tx1"/>
                  </w14:solidFill>
                </w14:textFill>
              </w:rPr>
              <w:t>由</w:t>
            </w:r>
            <w:r>
              <w:rPr>
                <w:rFonts w:hint="eastAsia" w:ascii="宋体" w:hAnsi="宋体"/>
              </w:rPr>
              <w:t>受益人</w:t>
            </w:r>
            <w:r>
              <w:rPr>
                <w:rFonts w:hint="eastAsia" w:ascii="宋体" w:hAnsi="宋体"/>
                <w:color w:val="000000" w:themeColor="text1"/>
                <w14:textFill>
                  <w14:solidFill>
                    <w14:schemeClr w14:val="tx1"/>
                  </w14:solidFill>
                </w14:textFill>
              </w:rPr>
              <w:t>填写保险金给付申请书，并提供下列证明和资料：</w:t>
            </w:r>
          </w:p>
          <w:p w14:paraId="052E4CB4">
            <w:pPr>
              <w:numPr>
                <w:ilvl w:val="0"/>
                <w:numId w:val="13"/>
              </w:numPr>
              <w:ind w:left="425" w:leftChars="0" w:hanging="425" w:firstLineChars="0"/>
              <w:rPr>
                <w:rFonts w:asciiTheme="majorEastAsia" w:hAnsiTheme="majorEastAsia" w:eastAsiaTheme="majorEastAsia"/>
              </w:rPr>
            </w:pPr>
            <w:r>
              <w:rPr>
                <w:rFonts w:hint="eastAsia" w:asciiTheme="majorEastAsia" w:hAnsiTheme="majorEastAsia" w:eastAsiaTheme="majorEastAsia"/>
              </w:rPr>
              <w:t>保险合同；</w:t>
            </w:r>
          </w:p>
          <w:p w14:paraId="6BC8055A">
            <w:pPr>
              <w:numPr>
                <w:ilvl w:val="0"/>
                <w:numId w:val="13"/>
              </w:numPr>
              <w:ind w:left="425" w:leftChars="0" w:hanging="425" w:firstLineChars="0"/>
              <w:rPr>
                <w:rFonts w:asciiTheme="majorEastAsia" w:hAnsiTheme="majorEastAsia" w:eastAsiaTheme="majorEastAsia"/>
              </w:rPr>
            </w:pPr>
            <w:r>
              <w:rPr>
                <w:rFonts w:hint="eastAsia" w:asciiTheme="majorEastAsia" w:hAnsiTheme="majorEastAsia" w:eastAsiaTheme="majorEastAsia"/>
                <w:lang w:val="en-US" w:eastAsia="zh-CN"/>
              </w:rPr>
              <w:t>受益人和被保险人</w:t>
            </w:r>
            <w:r>
              <w:rPr>
                <w:rFonts w:asciiTheme="majorEastAsia" w:hAnsiTheme="majorEastAsia" w:eastAsiaTheme="majorEastAsia"/>
              </w:rPr>
              <w:t>的有效身份证件；</w:t>
            </w:r>
          </w:p>
          <w:p w14:paraId="50A54997">
            <w:pPr>
              <w:numPr>
                <w:ilvl w:val="0"/>
                <w:numId w:val="13"/>
              </w:numPr>
              <w:ind w:left="425" w:leftChars="0" w:hanging="425" w:firstLineChars="0"/>
              <w:rPr>
                <w:rFonts w:asciiTheme="majorEastAsia" w:hAnsiTheme="majorEastAsia" w:eastAsiaTheme="majorEastAsia"/>
              </w:rPr>
            </w:pPr>
            <w:r>
              <w:rPr>
                <w:rFonts w:asciiTheme="majorEastAsia" w:hAnsiTheme="majorEastAsia" w:eastAsiaTheme="majorEastAsia"/>
              </w:rPr>
              <w:t>国家卫生行政部门认定的医疗机构、公安部门或其他相关机构出具的被保险人的死亡证明</w:t>
            </w:r>
            <w:r>
              <w:rPr>
                <w:rFonts w:hint="eastAsia" w:asciiTheme="majorEastAsia" w:hAnsiTheme="majorEastAsia" w:eastAsiaTheme="majorEastAsia"/>
              </w:rPr>
              <w:t>，如果</w:t>
            </w:r>
            <w:r>
              <w:rPr>
                <w:rFonts w:asciiTheme="majorEastAsia" w:hAnsiTheme="majorEastAsia" w:eastAsiaTheme="majorEastAsia"/>
              </w:rPr>
              <w:t>被保险人由人民法院宣告死亡的，应提供法院宣告死亡判决书原件；</w:t>
            </w:r>
          </w:p>
          <w:p w14:paraId="7CA5A151">
            <w:pPr>
              <w:numPr>
                <w:ilvl w:val="0"/>
                <w:numId w:val="13"/>
              </w:numPr>
              <w:ind w:left="425" w:leftChars="0" w:hanging="425" w:firstLineChars="0"/>
              <w:rPr>
                <w:rFonts w:asciiTheme="majorEastAsia" w:hAnsiTheme="majorEastAsia" w:eastAsiaTheme="majorEastAsia"/>
              </w:rPr>
            </w:pPr>
            <w:r>
              <w:rPr>
                <w:rFonts w:asciiTheme="majorEastAsia" w:hAnsiTheme="majorEastAsia" w:eastAsiaTheme="majorEastAsia"/>
              </w:rPr>
              <w:t>所能提供的与确认保险事故的性质、原因等有关的其他证明和资料。</w:t>
            </w:r>
          </w:p>
          <w:p w14:paraId="7C144BF3">
            <w:pPr>
              <w:numPr>
                <w:ilvl w:val="0"/>
                <w:numId w:val="0"/>
              </w:numPr>
              <w:ind w:leftChars="0"/>
              <w:rPr>
                <w:rFonts w:asciiTheme="majorEastAsia" w:hAnsiTheme="majorEastAsia" w:eastAsiaTheme="majorEastAsia"/>
              </w:rPr>
            </w:pPr>
            <w:r>
              <w:rPr>
                <w:rFonts w:asciiTheme="majorEastAsia" w:hAnsiTheme="majorEastAsia" w:eastAsiaTheme="majorEastAsia"/>
              </w:rPr>
              <w:t>保险金作为被保险人遗产时，必须提供可证明合法继承权的相关权利文件。</w:t>
            </w:r>
          </w:p>
          <w:p w14:paraId="14B277BE">
            <w:pPr>
              <w:rPr>
                <w:rFonts w:ascii="宋体" w:hAnsi="宋体"/>
                <w:color w:val="000000" w:themeColor="text1"/>
                <w:highlight w:val="yellow"/>
                <w14:textFill>
                  <w14:solidFill>
                    <w14:schemeClr w14:val="tx1"/>
                  </w14:solidFill>
                </w14:textFill>
              </w:rPr>
            </w:pPr>
            <w:r>
              <w:rPr>
                <w:rFonts w:asciiTheme="majorEastAsia" w:hAnsiTheme="majorEastAsia" w:eastAsiaTheme="majorEastAsia"/>
              </w:rPr>
              <w:t>以上证明和资料不完整的，我们将及时一次性通知</w:t>
            </w:r>
            <w:r>
              <w:rPr>
                <w:rFonts w:hint="eastAsia" w:asciiTheme="majorEastAsia" w:hAnsiTheme="majorEastAsia" w:eastAsiaTheme="majorEastAsia"/>
                <w:lang w:val="en-US" w:eastAsia="zh-CN"/>
              </w:rPr>
              <w:t>受益人</w:t>
            </w:r>
            <w:r>
              <w:rPr>
                <w:rFonts w:asciiTheme="majorEastAsia" w:hAnsiTheme="majorEastAsia" w:eastAsiaTheme="majorEastAsia"/>
              </w:rPr>
              <w:t>补充提供有关证明和资料。</w:t>
            </w:r>
          </w:p>
        </w:tc>
      </w:tr>
      <w:tr w14:paraId="63B6EB7A">
        <w:tblPrEx>
          <w:tblCellMar>
            <w:top w:w="0" w:type="dxa"/>
            <w:left w:w="108" w:type="dxa"/>
            <w:bottom w:w="0" w:type="dxa"/>
            <w:right w:w="108" w:type="dxa"/>
          </w:tblCellMar>
        </w:tblPrEx>
        <w:tc>
          <w:tcPr>
            <w:tcW w:w="552" w:type="pct"/>
          </w:tcPr>
          <w:p w14:paraId="62777593">
            <w:pPr>
              <w:jc w:val="center"/>
              <w:rPr>
                <w:rFonts w:ascii="宋体" w:hAnsi="宋体"/>
                <w:b/>
                <w:color w:val="000000" w:themeColor="text1"/>
                <w:szCs w:val="24"/>
                <w:highlight w:val="yellow"/>
                <w14:textFill>
                  <w14:solidFill>
                    <w14:schemeClr w14:val="tx1"/>
                  </w14:solidFill>
                </w14:textFill>
              </w:rPr>
            </w:pPr>
          </w:p>
        </w:tc>
        <w:tc>
          <w:tcPr>
            <w:tcW w:w="962" w:type="pct"/>
          </w:tcPr>
          <w:p w14:paraId="54F6F4F5">
            <w:pPr>
              <w:spacing w:line="320" w:lineRule="exact"/>
              <w:rPr>
                <w:rFonts w:ascii="华文新魏" w:hAnsi="宋体" w:eastAsia="华文新魏"/>
                <w:b/>
                <w:color w:val="000000" w:themeColor="text1"/>
                <w:sz w:val="24"/>
                <w14:textFill>
                  <w14:solidFill>
                    <w14:schemeClr w14:val="tx1"/>
                  </w14:solidFill>
                </w14:textFill>
              </w:rPr>
            </w:pPr>
          </w:p>
        </w:tc>
        <w:tc>
          <w:tcPr>
            <w:tcW w:w="3484" w:type="pct"/>
          </w:tcPr>
          <w:p w14:paraId="37DB5DE5">
            <w:pPr>
              <w:rPr>
                <w:rFonts w:asciiTheme="majorEastAsia" w:hAnsiTheme="majorEastAsia" w:eastAsiaTheme="majorEastAsia"/>
              </w:rPr>
            </w:pPr>
          </w:p>
        </w:tc>
      </w:tr>
      <w:tr w14:paraId="7D8667F9">
        <w:tblPrEx>
          <w:tblCellMar>
            <w:top w:w="0" w:type="dxa"/>
            <w:left w:w="108" w:type="dxa"/>
            <w:bottom w:w="0" w:type="dxa"/>
            <w:right w:w="108" w:type="dxa"/>
          </w:tblCellMar>
        </w:tblPrEx>
        <w:tc>
          <w:tcPr>
            <w:tcW w:w="552" w:type="pct"/>
          </w:tcPr>
          <w:p w14:paraId="173FC7D9">
            <w:pPr>
              <w:jc w:val="center"/>
              <w:rPr>
                <w:rFonts w:hint="default" w:ascii="宋体" w:hAnsi="宋体"/>
                <w:b/>
                <w:color w:val="000000" w:themeColor="text1"/>
                <w:szCs w:val="24"/>
                <w:highlight w:val="yellow"/>
                <w:lang w:val="en-US"/>
                <w14:textFill>
                  <w14:solidFill>
                    <w14:schemeClr w14:val="tx1"/>
                  </w14:solidFill>
                </w14:textFill>
              </w:rPr>
            </w:pPr>
            <w:r>
              <w:rPr>
                <w:rFonts w:hint="default" w:asciiTheme="minorHAnsi" w:hAnsiTheme="minorHAnsi" w:cstheme="minorHAnsi"/>
                <w:b/>
                <w:strike w:val="0"/>
                <w:lang w:val="en-US" w:eastAsia="zh-CN"/>
              </w:rPr>
              <w:t>5.3.</w:t>
            </w:r>
            <w:r>
              <w:rPr>
                <w:rFonts w:hint="eastAsia" w:asciiTheme="minorHAnsi" w:hAnsiTheme="minorHAnsi" w:cstheme="minorHAnsi"/>
                <w:b/>
                <w:strike w:val="0"/>
                <w:lang w:val="en-US" w:eastAsia="zh-CN"/>
              </w:rPr>
              <w:t>3</w:t>
            </w:r>
          </w:p>
        </w:tc>
        <w:tc>
          <w:tcPr>
            <w:tcW w:w="962" w:type="pct"/>
          </w:tcPr>
          <w:p w14:paraId="28512048">
            <w:pPr>
              <w:spacing w:line="320" w:lineRule="exact"/>
              <w:rPr>
                <w:rFonts w:hint="default" w:ascii="华文新魏" w:hAnsi="宋体" w:eastAsia="华文新魏"/>
                <w:b/>
                <w:color w:val="000000" w:themeColor="text1"/>
                <w:sz w:val="24"/>
                <w:lang w:val="en-US" w:eastAsia="zh-CN"/>
                <w14:textFill>
                  <w14:solidFill>
                    <w14:schemeClr w14:val="tx1"/>
                  </w14:solidFill>
                </w14:textFill>
              </w:rPr>
            </w:pPr>
            <w:r>
              <w:rPr>
                <w:rFonts w:hint="eastAsia" w:ascii="华文新魏" w:hAnsi="宋体" w:eastAsia="华文新魏"/>
                <w:b/>
                <w:color w:val="000000" w:themeColor="text1"/>
                <w:sz w:val="24"/>
                <w:lang w:val="en-US" w:eastAsia="zh-CN"/>
                <w14:textFill>
                  <w14:solidFill>
                    <w14:schemeClr w14:val="tx1"/>
                  </w14:solidFill>
                </w14:textFill>
              </w:rPr>
              <w:t>一般医疗保险金的申请</w:t>
            </w:r>
          </w:p>
        </w:tc>
        <w:tc>
          <w:tcPr>
            <w:tcW w:w="3484" w:type="pct"/>
          </w:tcPr>
          <w:p w14:paraId="40D432C0">
            <w:pPr>
              <w:autoSpaceDE w:val="0"/>
              <w:autoSpaceDN w:val="0"/>
              <w:adjustRightInd w:val="0"/>
              <w:rPr>
                <w:rFonts w:ascii="宋体" w:hAnsi="宋体"/>
                <w:color w:val="auto"/>
              </w:rPr>
            </w:pPr>
            <w:r>
              <w:rPr>
                <w:rFonts w:hint="eastAsia" w:ascii="宋体" w:hAnsi="宋体"/>
                <w:color w:val="auto"/>
              </w:rPr>
              <w:t>受益人可通过以下两种方式向我们申请保险金：</w:t>
            </w:r>
          </w:p>
          <w:p w14:paraId="439533D3">
            <w:pPr>
              <w:numPr>
                <w:ilvl w:val="0"/>
                <w:numId w:val="14"/>
              </w:numPr>
              <w:autoSpaceDE w:val="0"/>
              <w:autoSpaceDN w:val="0"/>
              <w:adjustRightInd w:val="0"/>
              <w:ind w:left="425" w:leftChars="0" w:hanging="425" w:firstLineChars="0"/>
              <w:rPr>
                <w:rFonts w:ascii="宋体" w:hAnsi="宋体"/>
                <w:color w:val="auto"/>
              </w:rPr>
            </w:pPr>
            <w:r>
              <w:rPr>
                <w:rFonts w:hint="eastAsia" w:ascii="宋体" w:hAnsi="宋体"/>
                <w:color w:val="auto"/>
              </w:rPr>
              <w:t>费用直接结算</w:t>
            </w:r>
          </w:p>
          <w:p w14:paraId="285B6CF2">
            <w:pPr>
              <w:autoSpaceDE w:val="0"/>
              <w:autoSpaceDN w:val="0"/>
              <w:adjustRightInd w:val="0"/>
              <w:rPr>
                <w:rFonts w:ascii="宋体" w:hAnsi="宋体"/>
                <w:color w:val="auto"/>
              </w:rPr>
            </w:pPr>
            <w:r>
              <w:rPr>
                <w:rFonts w:hint="eastAsia" w:ascii="宋体" w:hAnsi="宋体"/>
                <w:color w:val="auto"/>
                <w:shd w:val="clear" w:color="FFFFFF" w:fill="D9D9D9"/>
              </w:rPr>
              <w:t>被保险人就医理赔</w:t>
            </w:r>
            <w:r>
              <w:rPr>
                <w:rFonts w:hint="eastAsia" w:ascii="宋体" w:hAnsi="宋体"/>
                <w:color w:val="auto"/>
                <w:shd w:val="clear" w:color="FFFFFF" w:fill="D9D9D9"/>
                <w:lang w:val="en-US" w:eastAsia="zh-CN"/>
              </w:rPr>
              <w:t>时</w:t>
            </w:r>
            <w:r>
              <w:rPr>
                <w:rFonts w:hint="eastAsia" w:ascii="宋体" w:hAnsi="宋体"/>
                <w:color w:val="auto"/>
                <w:shd w:val="clear" w:color="FFFFFF" w:fill="D9D9D9"/>
              </w:rPr>
              <w:t>，对于可以提供费用直接结算服务的保险金</w:t>
            </w:r>
            <w:r>
              <w:rPr>
                <w:rFonts w:hint="eastAsia" w:ascii="宋体" w:hAnsi="宋体"/>
                <w:color w:val="auto"/>
                <w:shd w:val="clear" w:color="FFFFFF" w:fill="D9D9D9"/>
                <w:lang w:val="en-US" w:eastAsia="zh-CN"/>
              </w:rPr>
              <w:t>费用项目</w:t>
            </w:r>
            <w:r>
              <w:rPr>
                <w:rFonts w:hint="eastAsia" w:ascii="宋体" w:hAnsi="宋体"/>
                <w:color w:val="auto"/>
                <w:shd w:val="clear" w:color="FFFFFF" w:fill="D9D9D9"/>
              </w:rPr>
              <w:t>，被保险人可以向我们申请直接结算</w:t>
            </w:r>
            <w:r>
              <w:rPr>
                <w:rFonts w:hint="eastAsia" w:ascii="宋体" w:hAnsi="宋体"/>
                <w:color w:val="auto"/>
                <w:shd w:val="clear" w:color="auto" w:fill="auto"/>
              </w:rPr>
              <w:t>，</w:t>
            </w:r>
            <w:r>
              <w:rPr>
                <w:rFonts w:hint="eastAsia" w:ascii="宋体" w:hAnsi="宋体"/>
                <w:color w:val="auto"/>
              </w:rPr>
              <w:t>经我们同意的，对于被保险人</w:t>
            </w:r>
            <w:r>
              <w:rPr>
                <w:rFonts w:hint="eastAsia" w:ascii="Calibri" w:hAnsi="Calibri"/>
                <w:color w:val="auto"/>
              </w:rPr>
              <w:t>在</w:t>
            </w:r>
            <w:r>
              <w:rPr>
                <w:rFonts w:hint="eastAsia" w:ascii="Calibri" w:hAnsi="Calibri" w:eastAsia="宋体" w:cs="Times New Roman"/>
                <w:b w:val="0"/>
                <w:bCs w:val="0"/>
                <w:color w:val="auto"/>
                <w:lang w:val="en-US" w:eastAsia="zh-CN"/>
              </w:rPr>
              <w:t>指定互联网药店、</w:t>
            </w:r>
            <w:r>
              <w:rPr>
                <w:rFonts w:hint="eastAsia"/>
              </w:rPr>
              <w:t>可以提供直接结算服务的</w:t>
            </w:r>
            <w:r>
              <w:rPr>
                <w:rFonts w:hint="eastAsia" w:ascii="Calibri" w:hAnsi="Calibri" w:eastAsia="宋体" w:cs="Times New Roman"/>
                <w:b w:val="0"/>
                <w:bCs w:val="0"/>
                <w:color w:val="auto"/>
                <w:lang w:val="en-US" w:eastAsia="zh-CN"/>
              </w:rPr>
              <w:t>指定健康管理机构以及</w:t>
            </w:r>
            <w:r>
              <w:rPr>
                <w:rFonts w:hint="eastAsia" w:ascii="宋体" w:hAnsi="宋体"/>
                <w:color w:val="auto"/>
              </w:rPr>
              <w:t>可以</w:t>
            </w:r>
            <w:r>
              <w:rPr>
                <w:rFonts w:hint="eastAsia" w:ascii="黑体" w:hAnsi="黑体" w:eastAsia="黑体" w:cs="黑体"/>
                <w:b/>
                <w:bCs/>
                <w:color w:val="auto"/>
              </w:rPr>
              <w:t>提供直接结算服务的医疗机构</w:t>
            </w:r>
            <w:r>
              <w:rPr>
                <w:rStyle w:val="23"/>
                <w:rFonts w:ascii="黑体" w:hAnsi="黑体" w:eastAsia="黑体"/>
                <w:b/>
                <w:bCs/>
                <w:color w:val="auto"/>
                <w:szCs w:val="21"/>
              </w:rPr>
              <w:footnoteReference w:id="34"/>
            </w:r>
            <w:r>
              <w:rPr>
                <w:rFonts w:hint="eastAsia" w:ascii="宋体" w:hAnsi="宋体"/>
                <w:color w:val="auto"/>
              </w:rPr>
              <w:t>发生的保险责任范围内的费用我们将与</w:t>
            </w:r>
            <w:r>
              <w:rPr>
                <w:rFonts w:hint="eastAsia" w:ascii="Calibri" w:hAnsi="Calibri" w:eastAsia="宋体" w:cs="Times New Roman"/>
                <w:b w:val="0"/>
                <w:bCs w:val="0"/>
                <w:color w:val="auto"/>
                <w:lang w:val="en-US" w:eastAsia="zh-CN"/>
              </w:rPr>
              <w:t>指定互联网药店、指定健康管理机构</w:t>
            </w:r>
            <w:r>
              <w:rPr>
                <w:rFonts w:hint="eastAsia" w:cs="Times New Roman"/>
                <w:b w:val="0"/>
                <w:bCs w:val="0"/>
                <w:color w:val="auto"/>
                <w:lang w:val="en-US" w:eastAsia="zh-CN"/>
              </w:rPr>
              <w:t>或</w:t>
            </w:r>
            <w:r>
              <w:rPr>
                <w:rFonts w:hint="eastAsia" w:ascii="宋体" w:hAnsi="宋体"/>
                <w:color w:val="auto"/>
              </w:rPr>
              <w:t>医</w:t>
            </w:r>
            <w:r>
              <w:rPr>
                <w:rFonts w:hint="eastAsia" w:ascii="宋体" w:hAnsi="宋体"/>
                <w:color w:val="auto"/>
                <w:lang w:val="en-US" w:eastAsia="zh-CN"/>
              </w:rPr>
              <w:t>疗机构</w:t>
            </w:r>
            <w:r>
              <w:rPr>
                <w:rFonts w:hint="eastAsia" w:ascii="宋体" w:hAnsi="宋体"/>
                <w:color w:val="auto"/>
              </w:rPr>
              <w:t>直接结算。</w:t>
            </w:r>
          </w:p>
          <w:p w14:paraId="75DECD4B">
            <w:pPr>
              <w:autoSpaceDE w:val="0"/>
              <w:autoSpaceDN w:val="0"/>
              <w:adjustRightInd w:val="0"/>
              <w:rPr>
                <w:rFonts w:hint="eastAsia" w:ascii="宋体" w:hAnsi="宋体"/>
                <w:b/>
                <w:color w:val="auto"/>
                <w:shd w:val="pct15" w:color="auto" w:fill="FFFFFF"/>
              </w:rPr>
            </w:pPr>
            <w:r>
              <w:rPr>
                <w:rFonts w:hint="eastAsia" w:ascii="宋体" w:hAnsi="宋体"/>
                <w:color w:val="auto"/>
              </w:rPr>
              <w:t>被保险人在</w:t>
            </w:r>
            <w:r>
              <w:rPr>
                <w:rFonts w:hint="eastAsia" w:ascii="Calibri" w:hAnsi="Calibri" w:eastAsia="宋体" w:cs="Times New Roman"/>
                <w:b w:val="0"/>
                <w:bCs w:val="0"/>
                <w:color w:val="auto"/>
                <w:lang w:val="en-US" w:eastAsia="zh-CN"/>
              </w:rPr>
              <w:t>指定互联网药店、</w:t>
            </w:r>
            <w:r>
              <w:rPr>
                <w:rFonts w:hint="eastAsia"/>
              </w:rPr>
              <w:t>可以提供直接结算服务的</w:t>
            </w:r>
            <w:r>
              <w:rPr>
                <w:rFonts w:hint="eastAsia" w:ascii="Calibri" w:hAnsi="Calibri" w:eastAsia="宋体" w:cs="Times New Roman"/>
                <w:b w:val="0"/>
                <w:bCs w:val="0"/>
                <w:color w:val="auto"/>
                <w:lang w:val="en-US" w:eastAsia="zh-CN"/>
              </w:rPr>
              <w:t>指定健康管理机构</w:t>
            </w:r>
            <w:r>
              <w:rPr>
                <w:rFonts w:hint="eastAsia" w:cs="Times New Roman"/>
                <w:b w:val="0"/>
                <w:bCs w:val="0"/>
                <w:color w:val="auto"/>
                <w:lang w:val="en-US" w:eastAsia="zh-CN"/>
              </w:rPr>
              <w:t>或</w:t>
            </w:r>
            <w:r>
              <w:rPr>
                <w:rFonts w:hint="eastAsia"/>
                <w:color w:val="auto"/>
              </w:rPr>
              <w:t>可以提供直接结算服务的医疗机构</w:t>
            </w:r>
            <w:r>
              <w:rPr>
                <w:rFonts w:hint="eastAsia" w:ascii="宋体" w:hAnsi="宋体"/>
                <w:color w:val="auto"/>
              </w:rPr>
              <w:t>就诊并享受直接结算服务的，对于不属于保险责任范围内的费用、超过相应费用限额的费用，或者应从保险金中扣减的欠交保费等应由被保险人自行承担但该在</w:t>
            </w:r>
            <w:r>
              <w:rPr>
                <w:rFonts w:hint="eastAsia" w:ascii="Calibri" w:hAnsi="Calibri" w:eastAsia="宋体" w:cs="Times New Roman"/>
                <w:b w:val="0"/>
                <w:bCs w:val="0"/>
                <w:color w:val="auto"/>
                <w:lang w:val="en-US" w:eastAsia="zh-CN"/>
              </w:rPr>
              <w:t>指定互联网药店、</w:t>
            </w:r>
            <w:r>
              <w:rPr>
                <w:rFonts w:hint="eastAsia"/>
              </w:rPr>
              <w:t>可以提供直接结算服务的</w:t>
            </w:r>
            <w:r>
              <w:rPr>
                <w:rFonts w:hint="eastAsia" w:ascii="Calibri" w:hAnsi="Calibri" w:eastAsia="宋体" w:cs="Times New Roman"/>
                <w:b w:val="0"/>
                <w:bCs w:val="0"/>
                <w:color w:val="auto"/>
                <w:lang w:val="en-US" w:eastAsia="zh-CN"/>
              </w:rPr>
              <w:t>指定健康管理机构</w:t>
            </w:r>
            <w:r>
              <w:rPr>
                <w:rFonts w:hint="eastAsia" w:cs="Times New Roman"/>
                <w:b w:val="0"/>
                <w:bCs w:val="0"/>
                <w:color w:val="auto"/>
                <w:lang w:val="en-US" w:eastAsia="zh-CN"/>
              </w:rPr>
              <w:t>或</w:t>
            </w:r>
            <w:r>
              <w:rPr>
                <w:rFonts w:hint="eastAsia" w:ascii="宋体" w:hAnsi="宋体"/>
                <w:color w:val="auto"/>
                <w:lang w:val="en-US" w:eastAsia="zh-CN"/>
              </w:rPr>
              <w:t>医疗机构</w:t>
            </w:r>
            <w:r>
              <w:rPr>
                <w:rFonts w:hint="eastAsia" w:ascii="宋体" w:hAnsi="宋体"/>
                <w:color w:val="auto"/>
              </w:rPr>
              <w:t>未向其收取的，</w:t>
            </w:r>
            <w:r>
              <w:rPr>
                <w:rFonts w:hint="eastAsia" w:ascii="宋体" w:hAnsi="宋体"/>
                <w:b/>
                <w:color w:val="auto"/>
                <w:shd w:val="pct15" w:color="auto" w:fill="FFFFFF"/>
              </w:rPr>
              <w:t>在接到我们通知后30日内，被保险人应当将上述相应款项退还我们，未退还期间我们有权中止医疗费用直接结算服务。</w:t>
            </w:r>
          </w:p>
          <w:p w14:paraId="5EBDA380">
            <w:pPr>
              <w:autoSpaceDE w:val="0"/>
              <w:autoSpaceDN w:val="0"/>
              <w:adjustRightInd w:val="0"/>
              <w:rPr>
                <w:rFonts w:hint="eastAsia" w:ascii="宋体" w:hAnsi="宋体"/>
                <w:b/>
                <w:color w:val="auto"/>
                <w:shd w:val="pct15" w:color="auto" w:fill="FFFFFF"/>
              </w:rPr>
            </w:pPr>
          </w:p>
          <w:p w14:paraId="5E728DA0">
            <w:pPr>
              <w:numPr>
                <w:ilvl w:val="0"/>
                <w:numId w:val="14"/>
              </w:numPr>
              <w:autoSpaceDE w:val="0"/>
              <w:autoSpaceDN w:val="0"/>
              <w:adjustRightInd w:val="0"/>
              <w:ind w:left="425" w:leftChars="0" w:hanging="425" w:firstLineChars="0"/>
              <w:rPr>
                <w:rFonts w:ascii="宋体" w:hAnsi="宋体"/>
                <w:color w:val="auto"/>
              </w:rPr>
            </w:pPr>
            <w:r>
              <w:rPr>
                <w:rFonts w:hint="eastAsia" w:ascii="宋体" w:hAnsi="宋体"/>
                <w:color w:val="auto"/>
              </w:rPr>
              <w:t>保险事故发生后申请赔付保险金</w:t>
            </w:r>
          </w:p>
          <w:p w14:paraId="0E36D999">
            <w:pPr>
              <w:rPr>
                <w:rFonts w:hint="eastAsia" w:ascii="宋体" w:hAnsi="宋体"/>
                <w:color w:val="auto"/>
              </w:rPr>
            </w:pPr>
            <w:r>
              <w:rPr>
                <w:rFonts w:hint="eastAsia" w:ascii="宋体" w:hAnsi="宋体"/>
                <w:color w:val="auto"/>
              </w:rPr>
              <w:t>受益人还可于保险事故发生后向我们申请赔付保险金。</w:t>
            </w:r>
          </w:p>
          <w:p w14:paraId="79C42BCB">
            <w:pPr>
              <w:rPr>
                <w:rFonts w:ascii="宋体" w:hAnsi="宋体"/>
                <w:color w:val="auto"/>
              </w:rPr>
            </w:pPr>
            <w:r>
              <w:rPr>
                <w:rFonts w:hint="eastAsia" w:ascii="宋体" w:hAnsi="宋体"/>
                <w:color w:val="auto"/>
              </w:rPr>
              <w:t>在保险事故发生后申请赔付保险金的，由受益人填写保险金赔付申请书，并提供下列证明和资料：</w:t>
            </w:r>
          </w:p>
          <w:p w14:paraId="7F2856F6">
            <w:pPr>
              <w:pStyle w:val="35"/>
              <w:numPr>
                <w:ilvl w:val="0"/>
                <w:numId w:val="15"/>
              </w:numPr>
              <w:tabs>
                <w:tab w:val="left" w:pos="586"/>
              </w:tabs>
              <w:ind w:left="586" w:hanging="586" w:firstLineChars="0"/>
              <w:rPr>
                <w:rFonts w:asciiTheme="minorEastAsia" w:hAnsiTheme="minorEastAsia" w:eastAsiaTheme="minorEastAsia"/>
                <w:color w:val="auto"/>
                <w:szCs w:val="21"/>
              </w:rPr>
            </w:pPr>
            <w:r>
              <w:rPr>
                <w:rFonts w:asciiTheme="minorEastAsia" w:hAnsiTheme="minorEastAsia" w:eastAsiaTheme="minorEastAsia"/>
                <w:color w:val="auto"/>
                <w:szCs w:val="21"/>
              </w:rPr>
              <w:t>保险合同；</w:t>
            </w:r>
          </w:p>
          <w:p w14:paraId="5D4C5CAF">
            <w:pPr>
              <w:pStyle w:val="35"/>
              <w:numPr>
                <w:ilvl w:val="0"/>
                <w:numId w:val="15"/>
              </w:numPr>
              <w:tabs>
                <w:tab w:val="left" w:pos="586"/>
              </w:tabs>
              <w:ind w:left="586" w:hanging="586" w:firstLineChars="0"/>
              <w:rPr>
                <w:rFonts w:ascii="宋体" w:hAnsi="宋体"/>
                <w:color w:val="auto"/>
              </w:rPr>
            </w:pPr>
            <w:r>
              <w:rPr>
                <w:rFonts w:ascii="宋体" w:hAnsi="宋体"/>
                <w:color w:val="auto"/>
              </w:rPr>
              <w:t>受益人</w:t>
            </w:r>
            <w:r>
              <w:rPr>
                <w:rFonts w:hint="eastAsia" w:ascii="宋体" w:hAnsi="宋体"/>
                <w:color w:val="auto"/>
                <w:lang w:val="en-US" w:eastAsia="zh-CN"/>
              </w:rPr>
              <w:t>和被保险人</w:t>
            </w:r>
            <w:r>
              <w:rPr>
                <w:rFonts w:hint="eastAsia" w:ascii="宋体" w:hAnsi="宋体"/>
                <w:color w:val="auto"/>
              </w:rPr>
              <w:t>的</w:t>
            </w:r>
            <w:r>
              <w:rPr>
                <w:rFonts w:hint="eastAsia" w:asciiTheme="minorEastAsia" w:hAnsiTheme="minorEastAsia" w:eastAsiaTheme="minorEastAsia"/>
                <w:color w:val="auto"/>
                <w:szCs w:val="21"/>
              </w:rPr>
              <w:t>有效身份证件</w:t>
            </w:r>
            <w:r>
              <w:rPr>
                <w:rFonts w:ascii="宋体" w:hAnsi="宋体"/>
                <w:color w:val="auto"/>
              </w:rPr>
              <w:t>；</w:t>
            </w:r>
          </w:p>
          <w:p w14:paraId="637BB740">
            <w:pPr>
              <w:pStyle w:val="35"/>
              <w:numPr>
                <w:ilvl w:val="0"/>
                <w:numId w:val="15"/>
              </w:numPr>
              <w:tabs>
                <w:tab w:val="left" w:pos="586"/>
              </w:tabs>
              <w:ind w:left="586" w:hanging="586" w:firstLineChars="0"/>
              <w:rPr>
                <w:rFonts w:hint="eastAsia" w:ascii="宋体" w:hAnsi="宋体"/>
                <w:color w:val="auto"/>
              </w:rPr>
            </w:pPr>
            <w:r>
              <w:rPr>
                <w:rFonts w:hint="eastAsia" w:ascii="宋体" w:hAnsi="宋体"/>
                <w:color w:val="auto"/>
              </w:rPr>
              <w:t>医院出具的医疗诊断书、医疗病历或出院小结、检查检验报告及费用清单；</w:t>
            </w:r>
          </w:p>
          <w:p w14:paraId="5D2097BB">
            <w:pPr>
              <w:pStyle w:val="35"/>
              <w:numPr>
                <w:ilvl w:val="0"/>
                <w:numId w:val="15"/>
              </w:numPr>
              <w:tabs>
                <w:tab w:val="left" w:pos="586"/>
              </w:tabs>
              <w:ind w:left="586" w:hanging="586" w:firstLineChars="0"/>
              <w:rPr>
                <w:rFonts w:ascii="宋体" w:hAnsi="宋体"/>
                <w:color w:val="auto"/>
              </w:rPr>
            </w:pPr>
            <w:r>
              <w:rPr>
                <w:rFonts w:hint="eastAsia" w:ascii="宋体" w:hAnsi="宋体"/>
                <w:color w:val="auto"/>
                <w:lang w:val="en-US"/>
              </w:rPr>
              <w:t>医院出具的医疗费用原始凭证和医疗费用结算清单（被保险人享有基本医疗保险或公费医疗保障的，需包含按基本医疗保险或公费医疗有关规定取得医疗费用补偿的证明）；若发生健康检查费用的，则需提供医院或体检机构出具的被保险人的医疗费用发票</w:t>
            </w:r>
            <w:r>
              <w:rPr>
                <w:rFonts w:hint="eastAsia" w:ascii="宋体" w:hAnsi="宋体"/>
                <w:color w:val="auto"/>
                <w:lang w:val="en-US" w:eastAsia="zh-CN"/>
              </w:rPr>
              <w:t>；</w:t>
            </w:r>
          </w:p>
          <w:p w14:paraId="275E7835">
            <w:pPr>
              <w:pStyle w:val="35"/>
              <w:numPr>
                <w:ilvl w:val="0"/>
                <w:numId w:val="15"/>
              </w:numPr>
              <w:tabs>
                <w:tab w:val="left" w:pos="586"/>
              </w:tabs>
              <w:ind w:left="585" w:hanging="585" w:hangingChars="279"/>
              <w:rPr>
                <w:rFonts w:hint="eastAsia" w:asciiTheme="majorEastAsia" w:hAnsiTheme="majorEastAsia" w:eastAsiaTheme="majorEastAsia"/>
                <w:lang w:val="en-US" w:eastAsia="zh-CN"/>
              </w:rPr>
            </w:pPr>
            <w:r>
              <w:rPr>
                <w:rFonts w:hint="eastAsia" w:ascii="宋体" w:hAnsi="宋体"/>
                <w:color w:val="auto"/>
                <w:lang w:val="en-US" w:eastAsia="zh-CN"/>
              </w:rPr>
              <w:t>对于在药店发生的药品费和医疗器械费，需提供医院出具的病历或处方笺，药店出具的药品费和医疗器械费的发票；</w:t>
            </w:r>
          </w:p>
          <w:p w14:paraId="0DE68D7C">
            <w:pPr>
              <w:pStyle w:val="35"/>
              <w:numPr>
                <w:ilvl w:val="0"/>
                <w:numId w:val="15"/>
              </w:numPr>
              <w:tabs>
                <w:tab w:val="left" w:pos="586"/>
              </w:tabs>
              <w:ind w:left="586" w:hanging="586" w:firstLineChars="0"/>
              <w:rPr>
                <w:rFonts w:ascii="宋体" w:hAnsi="宋体"/>
                <w:color w:val="auto"/>
              </w:rPr>
            </w:pPr>
            <w:r>
              <w:rPr>
                <w:rFonts w:hint="eastAsia" w:asciiTheme="majorEastAsia" w:hAnsiTheme="majorEastAsia" w:eastAsiaTheme="majorEastAsia"/>
                <w:lang w:val="en-US" w:eastAsia="zh-CN"/>
              </w:rPr>
              <w:t>对于在指定健康管理机构发生的</w:t>
            </w:r>
            <w:r>
              <w:rPr>
                <w:rFonts w:hint="eastAsia" w:cs="Times New Roman" w:asciiTheme="majorEastAsia" w:hAnsiTheme="majorEastAsia" w:eastAsiaTheme="majorEastAsia"/>
                <w:sz w:val="21"/>
                <w:szCs w:val="22"/>
                <w:lang w:val="en-US" w:eastAsia="zh-CN"/>
              </w:rPr>
              <w:t>健康管理服务费</w:t>
            </w:r>
            <w:r>
              <w:rPr>
                <w:rFonts w:hint="eastAsia" w:asciiTheme="majorEastAsia" w:hAnsiTheme="majorEastAsia" w:eastAsiaTheme="majorEastAsia"/>
                <w:lang w:val="en-US" w:eastAsia="zh-CN"/>
              </w:rPr>
              <w:t>，需提供指定健康管理机构出具的</w:t>
            </w:r>
            <w:r>
              <w:rPr>
                <w:rFonts w:hint="eastAsia" w:cs="Times New Roman" w:asciiTheme="majorEastAsia" w:hAnsiTheme="majorEastAsia" w:eastAsiaTheme="majorEastAsia"/>
                <w:sz w:val="21"/>
                <w:szCs w:val="22"/>
                <w:lang w:val="en-US" w:eastAsia="zh-CN"/>
              </w:rPr>
              <w:t>健康管理服务费</w:t>
            </w:r>
            <w:r>
              <w:rPr>
                <w:rFonts w:hint="eastAsia" w:asciiTheme="majorEastAsia" w:hAnsiTheme="majorEastAsia" w:eastAsiaTheme="majorEastAsia"/>
                <w:lang w:val="en-US" w:eastAsia="zh-CN"/>
              </w:rPr>
              <w:t>的发票；</w:t>
            </w:r>
          </w:p>
          <w:p w14:paraId="6E24A5CE">
            <w:pPr>
              <w:pStyle w:val="35"/>
              <w:numPr>
                <w:ilvl w:val="0"/>
                <w:numId w:val="15"/>
              </w:numPr>
              <w:tabs>
                <w:tab w:val="left" w:pos="586"/>
              </w:tabs>
              <w:ind w:left="586" w:hanging="586" w:firstLineChars="0"/>
              <w:rPr>
                <w:rFonts w:ascii="宋体" w:hAnsi="宋体"/>
                <w:color w:val="auto"/>
              </w:rPr>
            </w:pPr>
            <w:r>
              <w:rPr>
                <w:rFonts w:ascii="宋体" w:hAnsi="宋体"/>
                <w:color w:val="auto"/>
              </w:rPr>
              <w:t>所能提供的与确认保险事故的性质、原因等有关的其他证明和资料。</w:t>
            </w:r>
          </w:p>
          <w:p w14:paraId="5CF796B2">
            <w:pPr>
              <w:rPr>
                <w:rFonts w:hint="eastAsia" w:ascii="宋体" w:hAnsi="宋体"/>
                <w:color w:val="auto"/>
              </w:rPr>
            </w:pPr>
            <w:r>
              <w:rPr>
                <w:rFonts w:hint="eastAsia" w:ascii="宋体" w:hAnsi="宋体"/>
                <w:color w:val="auto"/>
              </w:rPr>
              <w:t>以上证明和资料不完整的，我们将及时一次性通知受益人补充提供有关证明和资料。</w:t>
            </w:r>
          </w:p>
        </w:tc>
      </w:tr>
      <w:tr w14:paraId="1B61CCD3">
        <w:tblPrEx>
          <w:tblCellMar>
            <w:top w:w="0" w:type="dxa"/>
            <w:left w:w="108" w:type="dxa"/>
            <w:bottom w:w="0" w:type="dxa"/>
            <w:right w:w="108" w:type="dxa"/>
          </w:tblCellMar>
        </w:tblPrEx>
        <w:tc>
          <w:tcPr>
            <w:tcW w:w="552" w:type="pct"/>
          </w:tcPr>
          <w:p w14:paraId="14FA5BEB">
            <w:pPr>
              <w:jc w:val="center"/>
              <w:rPr>
                <w:rFonts w:ascii="宋体" w:hAnsi="宋体"/>
                <w:b/>
                <w:color w:val="000000" w:themeColor="text1"/>
                <w:szCs w:val="24"/>
                <w:highlight w:val="yellow"/>
                <w14:textFill>
                  <w14:solidFill>
                    <w14:schemeClr w14:val="tx1"/>
                  </w14:solidFill>
                </w14:textFill>
              </w:rPr>
            </w:pPr>
          </w:p>
        </w:tc>
        <w:tc>
          <w:tcPr>
            <w:tcW w:w="962" w:type="pct"/>
          </w:tcPr>
          <w:p w14:paraId="1BE6641E">
            <w:pPr>
              <w:spacing w:line="320" w:lineRule="exact"/>
              <w:rPr>
                <w:rFonts w:ascii="华文新魏" w:hAnsi="宋体" w:eastAsia="华文新魏"/>
                <w:b/>
                <w:color w:val="000000" w:themeColor="text1"/>
                <w:sz w:val="24"/>
                <w14:textFill>
                  <w14:solidFill>
                    <w14:schemeClr w14:val="tx1"/>
                  </w14:solidFill>
                </w14:textFill>
              </w:rPr>
            </w:pPr>
          </w:p>
        </w:tc>
        <w:tc>
          <w:tcPr>
            <w:tcW w:w="3484" w:type="pct"/>
          </w:tcPr>
          <w:p w14:paraId="709B92F6">
            <w:pPr>
              <w:rPr>
                <w:rFonts w:asciiTheme="majorEastAsia" w:hAnsiTheme="majorEastAsia" w:eastAsiaTheme="majorEastAsia"/>
              </w:rPr>
            </w:pPr>
          </w:p>
        </w:tc>
      </w:tr>
      <w:tr w14:paraId="63CDFD3E">
        <w:tblPrEx>
          <w:tblCellMar>
            <w:top w:w="0" w:type="dxa"/>
            <w:left w:w="108" w:type="dxa"/>
            <w:bottom w:w="0" w:type="dxa"/>
            <w:right w:w="108" w:type="dxa"/>
          </w:tblCellMar>
        </w:tblPrEx>
        <w:tc>
          <w:tcPr>
            <w:tcW w:w="552" w:type="pct"/>
          </w:tcPr>
          <w:p w14:paraId="694E4C52">
            <w:pPr>
              <w:jc w:val="cente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5</w:t>
            </w:r>
            <w:r>
              <w:rPr>
                <w:rFonts w:ascii="宋体" w:hAnsi="宋体"/>
                <w:b/>
                <w:color w:val="000000" w:themeColor="text1"/>
                <w:szCs w:val="24"/>
                <w14:textFill>
                  <w14:solidFill>
                    <w14:schemeClr w14:val="tx1"/>
                  </w14:solidFill>
                </w14:textFill>
              </w:rPr>
              <w:t>.</w:t>
            </w:r>
            <w:r>
              <w:rPr>
                <w:rFonts w:hint="eastAsia" w:ascii="宋体" w:hAnsi="宋体"/>
                <w:b/>
                <w:color w:val="000000" w:themeColor="text1"/>
                <w:szCs w:val="24"/>
                <w14:textFill>
                  <w14:solidFill>
                    <w14:schemeClr w14:val="tx1"/>
                  </w14:solidFill>
                </w14:textFill>
              </w:rPr>
              <w:t>4</w:t>
            </w:r>
          </w:p>
        </w:tc>
        <w:tc>
          <w:tcPr>
            <w:tcW w:w="962" w:type="pct"/>
          </w:tcPr>
          <w:p w14:paraId="7BD2E7F0">
            <w:pP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保险金的给付</w:t>
            </w:r>
          </w:p>
        </w:tc>
        <w:tc>
          <w:tcPr>
            <w:tcW w:w="3484" w:type="pct"/>
          </w:tcPr>
          <w:p w14:paraId="6518CF95">
            <w:pPr>
              <w:rPr>
                <w:rFonts w:asciiTheme="minorEastAsia" w:hAnsiTheme="minorEastAsia" w:eastAsiaTheme="minor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我们在收到</w:t>
            </w:r>
            <w:r>
              <w:rPr>
                <w:rFonts w:hint="eastAsia" w:asciiTheme="minorEastAsia" w:hAnsiTheme="minorEastAsia" w:eastAsiaTheme="minorEastAsia"/>
                <w:color w:val="000000" w:themeColor="text1"/>
                <w14:textFill>
                  <w14:solidFill>
                    <w14:schemeClr w14:val="tx1"/>
                  </w14:solidFill>
                </w14:textFill>
              </w:rPr>
              <w:t>保险金给付申请书及上述有关证明和资料后，将在5日内作出核定；情形复杂的，在30日内作出核定。</w:t>
            </w:r>
          </w:p>
          <w:p w14:paraId="03E06877">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对属于保险责任的，我们在与</w:t>
            </w:r>
            <w:r>
              <w:rPr>
                <w:rFonts w:asciiTheme="minorEastAsia" w:hAnsiTheme="minorEastAsia" w:eastAsiaTheme="minorEastAsia"/>
                <w:color w:val="000000" w:themeColor="text1"/>
                <w14:textFill>
                  <w14:solidFill>
                    <w14:schemeClr w14:val="tx1"/>
                  </w14:solidFill>
                </w14:textFill>
              </w:rPr>
              <w:t>受益人</w:t>
            </w:r>
            <w:r>
              <w:rPr>
                <w:rFonts w:hint="eastAsia" w:asciiTheme="minorEastAsia" w:hAnsiTheme="minorEastAsia" w:eastAsiaTheme="minorEastAsia"/>
                <w:color w:val="000000" w:themeColor="text1"/>
                <w14:textFill>
                  <w14:solidFill>
                    <w14:schemeClr w14:val="tx1"/>
                  </w14:solidFill>
                </w14:textFill>
              </w:rPr>
              <w:t>达成给付保险金的协议后</w:t>
            </w: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日</w:t>
            </w:r>
            <w:r>
              <w:rPr>
                <w:rFonts w:asciiTheme="minorEastAsia" w:hAnsiTheme="minorEastAsia" w:eastAsiaTheme="minorEastAsia"/>
                <w:color w:val="000000" w:themeColor="text1"/>
                <w14:textFill>
                  <w14:solidFill>
                    <w14:schemeClr w14:val="tx1"/>
                  </w14:solidFill>
                </w14:textFill>
              </w:rPr>
              <w:t>内，履行给付保险金</w:t>
            </w:r>
            <w:r>
              <w:rPr>
                <w:rFonts w:hint="eastAsia" w:asciiTheme="minorEastAsia" w:hAnsiTheme="minorEastAsia" w:eastAsiaTheme="minorEastAsia"/>
                <w:color w:val="000000" w:themeColor="text1"/>
                <w14:textFill>
                  <w14:solidFill>
                    <w14:schemeClr w14:val="tx1"/>
                  </w14:solidFill>
                </w14:textFill>
              </w:rPr>
              <w:t>义务；若我们在收到保险金给付申请书及上述有关证明和资料后第30日仍未作出核定，除支付保险金外，我们将从第31日起按超过天数赔偿受益人因此受到的利息损失。利息按照我们公示的利率按单利计算，且保证该利率不低于中国人民银行公布的同期金融机构人民币活期存款基准利率。</w:t>
            </w:r>
          </w:p>
          <w:p w14:paraId="53144ED5">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如我们要求您、被保险人或者受益人补充提供有关证明和资料的，那么自您、被保险人或者受益人收到补充提供有关证明和资料的通知之日起直至我们收到补充提供的有关证明和资料的期间将不计入上述30日。</w:t>
            </w:r>
          </w:p>
          <w:p w14:paraId="4D2124A9">
            <w:pP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对不属于保险责任的，</w:t>
            </w:r>
            <w:r>
              <w:rPr>
                <w:rFonts w:hint="eastAsia" w:asciiTheme="minorEastAsia" w:hAnsiTheme="minorEastAsia" w:eastAsiaTheme="minorEastAsia"/>
                <w:color w:val="000000" w:themeColor="text1"/>
                <w14:textFill>
                  <w14:solidFill>
                    <w14:schemeClr w14:val="tx1"/>
                  </w14:solidFill>
                </w14:textFill>
              </w:rPr>
              <w:t>我们自作出核定之日起</w:t>
            </w:r>
            <w:r>
              <w:rPr>
                <w:rFonts w:hint="eastAsia" w:asciiTheme="minorEastAsia" w:hAnsiTheme="minorEastAsia" w:eastAsiaTheme="minorEastAsia"/>
                <w:color w:val="000000" w:themeColor="text1"/>
                <w:lang w:val="en-US" w:eastAsia="zh-CN"/>
                <w14:textFill>
                  <w14:solidFill>
                    <w14:schemeClr w14:val="tx1"/>
                  </w14:solidFill>
                </w14:textFill>
              </w:rPr>
              <w:t>1个工作</w:t>
            </w:r>
            <w:r>
              <w:rPr>
                <w:rFonts w:hint="eastAsia" w:asciiTheme="minorEastAsia" w:hAnsiTheme="minorEastAsia" w:eastAsiaTheme="minorEastAsia"/>
                <w:color w:val="000000" w:themeColor="text1"/>
                <w14:textFill>
                  <w14:solidFill>
                    <w14:schemeClr w14:val="tx1"/>
                  </w14:solidFill>
                </w14:textFill>
              </w:rPr>
              <w:t>日内</w:t>
            </w:r>
            <w:r>
              <w:rPr>
                <w:rFonts w:asciiTheme="minorEastAsia" w:hAnsiTheme="minorEastAsia" w:eastAsiaTheme="minorEastAsia"/>
                <w:color w:val="000000" w:themeColor="text1"/>
                <w14:textFill>
                  <w14:solidFill>
                    <w14:schemeClr w14:val="tx1"/>
                  </w14:solidFill>
                </w14:textFill>
              </w:rPr>
              <w:t>向受益人发出拒绝给付保险金通知书</w:t>
            </w:r>
            <w:r>
              <w:rPr>
                <w:rFonts w:hint="eastAsia" w:asciiTheme="minorEastAsia" w:hAnsiTheme="minorEastAsia" w:eastAsiaTheme="minorEastAsia"/>
                <w:color w:val="000000" w:themeColor="text1"/>
                <w14:textFill>
                  <w14:solidFill>
                    <w14:schemeClr w14:val="tx1"/>
                  </w14:solidFill>
                </w14:textFill>
              </w:rPr>
              <w:t>并说明理由</w:t>
            </w:r>
            <w:r>
              <w:rPr>
                <w:rFonts w:asciiTheme="minorEastAsia" w:hAnsiTheme="minorEastAsia" w:eastAsiaTheme="minorEastAsia"/>
                <w:color w:val="000000" w:themeColor="text1"/>
                <w14:textFill>
                  <w14:solidFill>
                    <w14:schemeClr w14:val="tx1"/>
                  </w14:solidFill>
                </w14:textFill>
              </w:rPr>
              <w:t>。</w:t>
            </w:r>
          </w:p>
          <w:p w14:paraId="0B8834B9">
            <w:pPr>
              <w:ind w:left="-19" w:leftChars="-9" w:firstLine="18" w:firstLineChars="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我们在收到受益人的保险金给付申请书及有关证明和资料之日起60日内，</w:t>
            </w:r>
            <w:r>
              <w:rPr>
                <w:rFonts w:hint="eastAsia" w:asciiTheme="minorEastAsia" w:hAnsiTheme="minorEastAsia" w:eastAsiaTheme="minorEastAsia"/>
              </w:rPr>
              <w:t>对给付保险金的数额不能确定的，根据已有证明和资料可以确定的数额先予支付；我们最终确定给付保险金的数额后，将支付相应的差额。</w:t>
            </w:r>
          </w:p>
          <w:p w14:paraId="035B6212">
            <w:pPr>
              <w:ind w:left="-19" w:leftChars="-9" w:firstLine="18" w:firstLineChars="9"/>
              <w:rPr>
                <w:rFonts w:ascii="宋体" w:hAnsi="宋体"/>
                <w:color w:val="000000" w:themeColor="text1"/>
                <w14:textFill>
                  <w14:solidFill>
                    <w14:schemeClr w14:val="tx1"/>
                  </w14:solidFill>
                </w14:textFill>
              </w:rPr>
            </w:pPr>
            <w:r>
              <w:rPr>
                <w:rFonts w:asciiTheme="minorEastAsia" w:hAnsiTheme="minorEastAsia" w:eastAsiaTheme="minorEastAsia"/>
                <w:shd w:val="pct10" w:color="auto" w:fill="FFFFFF"/>
              </w:rPr>
              <w:t>本</w:t>
            </w:r>
            <w:r>
              <w:rPr>
                <w:rFonts w:hint="eastAsia" w:asciiTheme="minorEastAsia" w:hAnsiTheme="minorEastAsia" w:eastAsiaTheme="minorEastAsia"/>
                <w:shd w:val="pct10" w:color="auto" w:fill="FFFFFF"/>
              </w:rPr>
              <w:t>主险</w:t>
            </w:r>
            <w:r>
              <w:rPr>
                <w:rFonts w:asciiTheme="minorEastAsia" w:hAnsiTheme="minorEastAsia" w:eastAsiaTheme="minorEastAsia"/>
                <w:shd w:val="pct10" w:color="auto" w:fill="FFFFFF"/>
              </w:rPr>
              <w:t>合同有效期内，被保险人经人民法院宣告死亡的，</w:t>
            </w:r>
            <w:r>
              <w:rPr>
                <w:rFonts w:hint="eastAsia" w:asciiTheme="minorEastAsia" w:hAnsiTheme="minorEastAsia" w:eastAsiaTheme="minorEastAsia"/>
                <w:shd w:val="pct10" w:color="auto" w:fill="FFFFFF"/>
              </w:rPr>
              <w:t>我们</w:t>
            </w:r>
            <w:r>
              <w:rPr>
                <w:rFonts w:asciiTheme="minorEastAsia" w:hAnsiTheme="minorEastAsia" w:eastAsiaTheme="minorEastAsia"/>
                <w:shd w:val="pct10" w:color="auto" w:fill="FFFFFF"/>
              </w:rPr>
              <w:t>将根据法院判决所确定的被保险人死亡日期，按本</w:t>
            </w:r>
            <w:r>
              <w:rPr>
                <w:rFonts w:hint="eastAsia" w:asciiTheme="minorEastAsia" w:hAnsiTheme="minorEastAsia" w:eastAsiaTheme="minorEastAsia"/>
                <w:shd w:val="pct10" w:color="auto" w:fill="FFFFFF"/>
              </w:rPr>
              <w:t>主险</w:t>
            </w:r>
            <w:r>
              <w:rPr>
                <w:rFonts w:asciiTheme="minorEastAsia" w:hAnsiTheme="minorEastAsia" w:eastAsiaTheme="minorEastAsia"/>
                <w:shd w:val="pct10" w:color="auto" w:fill="FFFFFF"/>
              </w:rPr>
              <w:t>合同约定的保险责任确定身故保险金的给付。如被保险人在宣告死亡后生还，保险金领取人应于知道被保险人生还后30日内将已领取的保险金退还</w:t>
            </w:r>
            <w:r>
              <w:rPr>
                <w:shd w:val="pct10" w:color="auto" w:fill="FFFFFF"/>
              </w:rPr>
              <w:t>给</w:t>
            </w:r>
            <w:r>
              <w:rPr>
                <w:rFonts w:hint="eastAsia"/>
                <w:shd w:val="pct10" w:color="auto" w:fill="FFFFFF"/>
              </w:rPr>
              <w:t>我们</w:t>
            </w:r>
            <w:r>
              <w:rPr>
                <w:shd w:val="pct10" w:color="auto" w:fill="FFFFFF"/>
              </w:rPr>
              <w:t>。</w:t>
            </w:r>
          </w:p>
        </w:tc>
      </w:tr>
      <w:tr w14:paraId="6AC4CD62">
        <w:tblPrEx>
          <w:tblCellMar>
            <w:top w:w="0" w:type="dxa"/>
            <w:left w:w="108" w:type="dxa"/>
            <w:bottom w:w="0" w:type="dxa"/>
            <w:right w:w="108" w:type="dxa"/>
          </w:tblCellMar>
        </w:tblPrEx>
        <w:trPr>
          <w:trHeight w:val="340" w:hRule="exact"/>
        </w:trPr>
        <w:tc>
          <w:tcPr>
            <w:tcW w:w="552" w:type="pct"/>
          </w:tcPr>
          <w:p w14:paraId="70790FE8">
            <w:pPr>
              <w:jc w:val="center"/>
              <w:rPr>
                <w:rFonts w:ascii="宋体" w:hAnsi="宋体"/>
                <w:color w:val="000000" w:themeColor="text1"/>
                <w:szCs w:val="24"/>
                <w14:textFill>
                  <w14:solidFill>
                    <w14:schemeClr w14:val="tx1"/>
                  </w14:solidFill>
                </w14:textFill>
              </w:rPr>
            </w:pPr>
          </w:p>
        </w:tc>
        <w:tc>
          <w:tcPr>
            <w:tcW w:w="962" w:type="pct"/>
          </w:tcPr>
          <w:p w14:paraId="6F64360F">
            <w:pPr>
              <w:rPr>
                <w:rFonts w:ascii="宋体" w:hAnsi="宋体"/>
                <w:color w:val="000000" w:themeColor="text1"/>
                <w:szCs w:val="24"/>
                <w14:textFill>
                  <w14:solidFill>
                    <w14:schemeClr w14:val="tx1"/>
                  </w14:solidFill>
                </w14:textFill>
              </w:rPr>
            </w:pPr>
          </w:p>
        </w:tc>
        <w:tc>
          <w:tcPr>
            <w:tcW w:w="3484" w:type="pct"/>
          </w:tcPr>
          <w:p w14:paraId="727AC42C">
            <w:pPr>
              <w:rPr>
                <w:rFonts w:ascii="宋体" w:hAnsi="宋体"/>
                <w:color w:val="000000" w:themeColor="text1"/>
                <w:szCs w:val="24"/>
                <w14:textFill>
                  <w14:solidFill>
                    <w14:schemeClr w14:val="tx1"/>
                  </w14:solidFill>
                </w14:textFill>
              </w:rPr>
            </w:pPr>
          </w:p>
        </w:tc>
      </w:tr>
      <w:tr w14:paraId="72C681E1">
        <w:tblPrEx>
          <w:tblCellMar>
            <w:top w:w="0" w:type="dxa"/>
            <w:left w:w="108" w:type="dxa"/>
            <w:bottom w:w="0" w:type="dxa"/>
            <w:right w:w="108" w:type="dxa"/>
          </w:tblCellMar>
        </w:tblPrEx>
        <w:trPr>
          <w:trHeight w:val="663" w:hRule="exact"/>
        </w:trPr>
        <w:tc>
          <w:tcPr>
            <w:tcW w:w="552" w:type="pct"/>
          </w:tcPr>
          <w:p w14:paraId="1B081D1E">
            <w:pPr>
              <w:jc w:val="cente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5</w:t>
            </w:r>
            <w:r>
              <w:rPr>
                <w:rFonts w:ascii="宋体" w:hAnsi="宋体"/>
                <w:b/>
                <w:color w:val="000000" w:themeColor="text1"/>
                <w:szCs w:val="24"/>
                <w14:textFill>
                  <w14:solidFill>
                    <w14:schemeClr w14:val="tx1"/>
                  </w14:solidFill>
                </w14:textFill>
              </w:rPr>
              <w:t>.</w:t>
            </w:r>
            <w:r>
              <w:rPr>
                <w:rFonts w:hint="eastAsia" w:ascii="宋体" w:hAnsi="宋体"/>
                <w:b/>
                <w:color w:val="000000" w:themeColor="text1"/>
                <w:szCs w:val="24"/>
                <w14:textFill>
                  <w14:solidFill>
                    <w14:schemeClr w14:val="tx1"/>
                  </w14:solidFill>
                </w14:textFill>
              </w:rPr>
              <w:t>5</w:t>
            </w:r>
          </w:p>
        </w:tc>
        <w:tc>
          <w:tcPr>
            <w:tcW w:w="962" w:type="pct"/>
          </w:tcPr>
          <w:p w14:paraId="2151CCC2">
            <w:pP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诉讼时效</w:t>
            </w:r>
          </w:p>
        </w:tc>
        <w:tc>
          <w:tcPr>
            <w:tcW w:w="3484" w:type="pct"/>
          </w:tcPr>
          <w:p w14:paraId="5A29058B">
            <w:pPr>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受益人向我们请求给付保险金的诉讼时效适用现行有效法律规定，自其知道或者应当知道保险事故发生之日起计算。</w:t>
            </w:r>
          </w:p>
        </w:tc>
      </w:tr>
      <w:tr w14:paraId="38BA7875">
        <w:tblPrEx>
          <w:tblCellMar>
            <w:top w:w="0" w:type="dxa"/>
            <w:left w:w="108" w:type="dxa"/>
            <w:bottom w:w="0" w:type="dxa"/>
            <w:right w:w="108" w:type="dxa"/>
          </w:tblCellMar>
        </w:tblPrEx>
        <w:trPr>
          <w:trHeight w:val="340" w:hRule="exact"/>
        </w:trPr>
        <w:tc>
          <w:tcPr>
            <w:tcW w:w="552" w:type="pct"/>
          </w:tcPr>
          <w:p w14:paraId="44719384">
            <w:pPr>
              <w:jc w:val="center"/>
              <w:rPr>
                <w:rFonts w:ascii="宋体" w:hAnsi="宋体"/>
                <w:color w:val="000000" w:themeColor="text1"/>
                <w:szCs w:val="24"/>
                <w14:textFill>
                  <w14:solidFill>
                    <w14:schemeClr w14:val="tx1"/>
                  </w14:solidFill>
                </w14:textFill>
              </w:rPr>
            </w:pPr>
          </w:p>
        </w:tc>
        <w:tc>
          <w:tcPr>
            <w:tcW w:w="962" w:type="pct"/>
          </w:tcPr>
          <w:p w14:paraId="543515AE">
            <w:pPr>
              <w:rPr>
                <w:rFonts w:ascii="宋体" w:hAnsi="宋体"/>
                <w:color w:val="000000" w:themeColor="text1"/>
                <w:szCs w:val="24"/>
                <w14:textFill>
                  <w14:solidFill>
                    <w14:schemeClr w14:val="tx1"/>
                  </w14:solidFill>
                </w14:textFill>
              </w:rPr>
            </w:pPr>
          </w:p>
        </w:tc>
        <w:tc>
          <w:tcPr>
            <w:tcW w:w="3484" w:type="pct"/>
          </w:tcPr>
          <w:p w14:paraId="138D8F2D">
            <w:pPr>
              <w:tabs>
                <w:tab w:val="left" w:pos="5600"/>
              </w:tabs>
              <w:rPr>
                <w:rFonts w:ascii="宋体" w:hAnsi="宋体"/>
                <w:color w:val="000000" w:themeColor="text1"/>
                <w:szCs w:val="24"/>
                <w14:textFill>
                  <w14:solidFill>
                    <w14:schemeClr w14:val="tx1"/>
                  </w14:solidFill>
                </w14:textFill>
              </w:rPr>
            </w:pPr>
          </w:p>
        </w:tc>
      </w:tr>
      <w:tr w14:paraId="6E9920D8">
        <w:tblPrEx>
          <w:tblCellMar>
            <w:top w:w="0" w:type="dxa"/>
            <w:left w:w="108" w:type="dxa"/>
            <w:bottom w:w="0" w:type="dxa"/>
            <w:right w:w="108" w:type="dxa"/>
          </w:tblCellMar>
        </w:tblPrEx>
        <w:trPr>
          <w:trHeight w:val="446" w:hRule="atLeast"/>
        </w:trPr>
        <w:tc>
          <w:tcPr>
            <w:tcW w:w="552" w:type="pct"/>
            <w:tcBorders>
              <w:bottom w:val="single" w:color="000000" w:sz="4" w:space="0"/>
            </w:tcBorders>
          </w:tcPr>
          <w:p w14:paraId="64ABE270">
            <w:pPr>
              <w:adjustRightInd w:val="0"/>
              <w:snapToGrid w:val="0"/>
              <w:jc w:val="center"/>
              <w:rPr>
                <w:rFonts w:hint="eastAsia" w:ascii="Wingdings 2" w:hAnsi="Wingdings 2"/>
                <w:b/>
                <w:color w:val="000000" w:themeColor="text1"/>
                <w:sz w:val="40"/>
                <w14:textFill>
                  <w14:solidFill>
                    <w14:schemeClr w14:val="tx1"/>
                  </w14:solidFill>
                </w14:textFill>
              </w:rPr>
            </w:pPr>
            <w:r>
              <w:rPr>
                <w:rFonts w:ascii="Wingdings 2" w:hAnsi="Wingdings 2"/>
                <w:b/>
                <w:color w:val="000000" w:themeColor="text1"/>
                <w:sz w:val="40"/>
                <w14:textFill>
                  <w14:solidFill>
                    <w14:schemeClr w14:val="tx1"/>
                  </w14:solidFill>
                </w14:textFill>
              </w:rPr>
              <w:sym w:font="Wingdings 2" w:char="F07A"/>
            </w:r>
          </w:p>
        </w:tc>
        <w:tc>
          <w:tcPr>
            <w:tcW w:w="4447" w:type="pct"/>
            <w:gridSpan w:val="2"/>
            <w:tcBorders>
              <w:bottom w:val="single" w:color="000000" w:sz="4" w:space="0"/>
            </w:tcBorders>
            <w:vAlign w:val="center"/>
          </w:tcPr>
          <w:p w14:paraId="311ADCE6">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如何解除保险合同</w:t>
            </w:r>
          </w:p>
        </w:tc>
      </w:tr>
      <w:tr w14:paraId="7B28F374">
        <w:tblPrEx>
          <w:tblCellMar>
            <w:top w:w="0" w:type="dxa"/>
            <w:left w:w="108" w:type="dxa"/>
            <w:bottom w:w="0" w:type="dxa"/>
            <w:right w:w="108" w:type="dxa"/>
          </w:tblCellMar>
        </w:tblPrEx>
        <w:trPr>
          <w:trHeight w:val="340" w:hRule="exact"/>
        </w:trPr>
        <w:tc>
          <w:tcPr>
            <w:tcW w:w="552" w:type="pct"/>
            <w:tcBorders>
              <w:top w:val="single" w:color="000000" w:sz="4" w:space="0"/>
            </w:tcBorders>
          </w:tcPr>
          <w:p w14:paraId="038DEEA4">
            <w:pPr>
              <w:jc w:val="center"/>
              <w:rPr>
                <w:rFonts w:ascii="宋体" w:hAnsi="宋体"/>
                <w:b/>
                <w:color w:val="000000" w:themeColor="text1"/>
                <w:szCs w:val="24"/>
                <w14:textFill>
                  <w14:solidFill>
                    <w14:schemeClr w14:val="tx1"/>
                  </w14:solidFill>
                </w14:textFill>
              </w:rPr>
            </w:pPr>
          </w:p>
        </w:tc>
        <w:tc>
          <w:tcPr>
            <w:tcW w:w="962" w:type="pct"/>
            <w:tcBorders>
              <w:top w:val="single" w:color="000000" w:sz="4" w:space="0"/>
            </w:tcBorders>
          </w:tcPr>
          <w:p w14:paraId="7708B9E7">
            <w:pPr>
              <w:rPr>
                <w:rFonts w:ascii="宋体" w:hAnsi="宋体"/>
                <w:b/>
                <w:color w:val="000000" w:themeColor="text1"/>
                <w:szCs w:val="24"/>
                <w14:textFill>
                  <w14:solidFill>
                    <w14:schemeClr w14:val="tx1"/>
                  </w14:solidFill>
                </w14:textFill>
              </w:rPr>
            </w:pPr>
          </w:p>
        </w:tc>
        <w:tc>
          <w:tcPr>
            <w:tcW w:w="3484" w:type="pct"/>
            <w:tcBorders>
              <w:top w:val="single" w:color="000000" w:sz="4" w:space="0"/>
            </w:tcBorders>
          </w:tcPr>
          <w:p w14:paraId="24D0D931">
            <w:pPr>
              <w:rPr>
                <w:rFonts w:ascii="宋体" w:hAnsi="宋体"/>
                <w:color w:val="000000" w:themeColor="text1"/>
                <w14:textFill>
                  <w14:solidFill>
                    <w14:schemeClr w14:val="tx1"/>
                  </w14:solidFill>
                </w14:textFill>
              </w:rPr>
            </w:pPr>
          </w:p>
        </w:tc>
      </w:tr>
      <w:tr w14:paraId="7B66B26C">
        <w:tblPrEx>
          <w:tblCellMar>
            <w:top w:w="0" w:type="dxa"/>
            <w:left w:w="108" w:type="dxa"/>
            <w:bottom w:w="0" w:type="dxa"/>
            <w:right w:w="108" w:type="dxa"/>
          </w:tblCellMar>
        </w:tblPrEx>
        <w:tc>
          <w:tcPr>
            <w:tcW w:w="552" w:type="pct"/>
          </w:tcPr>
          <w:p w14:paraId="6D10B45B">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lang w:val="en-US" w:eastAsia="zh-CN"/>
                <w14:textFill>
                  <w14:solidFill>
                    <w14:schemeClr w14:val="tx1"/>
                  </w14:solidFill>
                </w14:textFill>
              </w:rPr>
              <w:t>6</w:t>
            </w:r>
            <w:r>
              <w:rPr>
                <w:rFonts w:hint="eastAsia" w:ascii="宋体" w:hAnsi="宋体"/>
                <w:b/>
                <w:color w:val="000000" w:themeColor="text1"/>
                <w:szCs w:val="24"/>
                <w14:textFill>
                  <w14:solidFill>
                    <w14:schemeClr w14:val="tx1"/>
                  </w14:solidFill>
                </w14:textFill>
              </w:rPr>
              <w:t>.1</w:t>
            </w:r>
          </w:p>
        </w:tc>
        <w:tc>
          <w:tcPr>
            <w:tcW w:w="962" w:type="pct"/>
          </w:tcPr>
          <w:p w14:paraId="34E3F3C8">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您解除合同的手续及风险</w:t>
            </w:r>
          </w:p>
        </w:tc>
        <w:tc>
          <w:tcPr>
            <w:tcW w:w="3484" w:type="pct"/>
          </w:tcPr>
          <w:p w14:paraId="280C08B7">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犹豫期后您申请解除本主险合同的，请填写解除合同申请书并向我们提供下列资料：</w:t>
            </w:r>
          </w:p>
          <w:p w14:paraId="70B70BC6">
            <w:pPr>
              <w:numPr>
                <w:ilvl w:val="0"/>
                <w:numId w:val="16"/>
              </w:numPr>
              <w:ind w:left="425" w:leftChars="0" w:hanging="425"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保险合同；</w:t>
            </w:r>
          </w:p>
          <w:p w14:paraId="394BAD15">
            <w:pPr>
              <w:numPr>
                <w:ilvl w:val="0"/>
                <w:numId w:val="16"/>
              </w:numPr>
              <w:ind w:left="425" w:leftChars="0" w:hanging="425"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您的有效身份证件。</w:t>
            </w:r>
          </w:p>
          <w:p w14:paraId="273BC5BD">
            <w:pPr>
              <w:rPr>
                <w:rFonts w:ascii="宋体" w:hAnsi="宋体"/>
                <w:color w:val="000000" w:themeColor="text1"/>
                <w:shd w:val="pct10" w:color="auto" w:fill="FFFFFF"/>
                <w14:textFill>
                  <w14:solidFill>
                    <w14:schemeClr w14:val="tx1"/>
                  </w14:solidFill>
                </w14:textFill>
              </w:rPr>
            </w:pPr>
            <w:r>
              <w:rPr>
                <w:rFonts w:hint="eastAsia" w:ascii="宋体" w:hAnsi="宋体"/>
                <w:color w:val="000000" w:themeColor="text1"/>
                <w:shd w:val="pct10" w:color="auto" w:fill="FFFFFF"/>
                <w14:textFill>
                  <w14:solidFill>
                    <w14:schemeClr w14:val="tx1"/>
                  </w14:solidFill>
                </w14:textFill>
              </w:rPr>
              <w:t>自我们收到解除合同申请书时起，本主险合同终止。我们自收到解除合同申请书之日起30日内向您退还本主险合同的现金价值。</w:t>
            </w:r>
          </w:p>
          <w:p w14:paraId="3B1DA599">
            <w:pPr>
              <w:rPr>
                <w:rFonts w:ascii="宋体" w:hAnsi="宋体"/>
                <w:color w:val="000000" w:themeColor="text1"/>
                <w:shd w:val="pct10" w:color="auto" w:fill="FFFFFF"/>
                <w14:textFill>
                  <w14:solidFill>
                    <w14:schemeClr w14:val="tx1"/>
                  </w14:solidFill>
                </w14:textFill>
              </w:rPr>
            </w:pPr>
            <w:r>
              <w:rPr>
                <w:rFonts w:hint="eastAsia" w:ascii="宋体" w:hAnsi="宋体"/>
                <w:color w:val="000000" w:themeColor="text1"/>
                <w:shd w:val="pct10" w:color="auto" w:fill="FFFFFF"/>
                <w14:textFill>
                  <w14:solidFill>
                    <w14:schemeClr w14:val="tx1"/>
                  </w14:solidFill>
                </w14:textFill>
              </w:rPr>
              <w:t>您解除合同会遭受一定损失。</w:t>
            </w:r>
          </w:p>
        </w:tc>
      </w:tr>
      <w:tr w14:paraId="612DD921">
        <w:tblPrEx>
          <w:tblCellMar>
            <w:top w:w="0" w:type="dxa"/>
            <w:left w:w="108" w:type="dxa"/>
            <w:bottom w:w="0" w:type="dxa"/>
            <w:right w:w="108" w:type="dxa"/>
          </w:tblCellMar>
        </w:tblPrEx>
        <w:trPr>
          <w:trHeight w:val="284" w:hRule="exact"/>
        </w:trPr>
        <w:tc>
          <w:tcPr>
            <w:tcW w:w="552" w:type="pct"/>
            <w:tcBorders>
              <w:bottom w:val="nil"/>
            </w:tcBorders>
          </w:tcPr>
          <w:p w14:paraId="2DD7E341">
            <w:pPr>
              <w:jc w:val="center"/>
              <w:rPr>
                <w:rFonts w:ascii="宋体" w:hAnsi="宋体"/>
                <w:b/>
                <w:color w:val="000000" w:themeColor="text1"/>
                <w:szCs w:val="24"/>
                <w14:textFill>
                  <w14:solidFill>
                    <w14:schemeClr w14:val="tx1"/>
                  </w14:solidFill>
                </w14:textFill>
              </w:rPr>
            </w:pPr>
          </w:p>
        </w:tc>
        <w:tc>
          <w:tcPr>
            <w:tcW w:w="962" w:type="pct"/>
            <w:tcBorders>
              <w:bottom w:val="nil"/>
            </w:tcBorders>
          </w:tcPr>
          <w:p w14:paraId="4E35FE91">
            <w:pPr>
              <w:rPr>
                <w:rFonts w:ascii="宋体" w:hAnsi="宋体"/>
                <w:b/>
                <w:color w:val="000000" w:themeColor="text1"/>
                <w:szCs w:val="24"/>
                <w14:textFill>
                  <w14:solidFill>
                    <w14:schemeClr w14:val="tx1"/>
                  </w14:solidFill>
                </w14:textFill>
              </w:rPr>
            </w:pPr>
          </w:p>
        </w:tc>
        <w:tc>
          <w:tcPr>
            <w:tcW w:w="3484" w:type="pct"/>
            <w:tcBorders>
              <w:bottom w:val="nil"/>
            </w:tcBorders>
          </w:tcPr>
          <w:p w14:paraId="0873E53C">
            <w:pPr>
              <w:rPr>
                <w:rFonts w:ascii="宋体" w:hAnsi="宋体"/>
                <w:color w:val="000000" w:themeColor="text1"/>
                <w:szCs w:val="24"/>
                <w14:textFill>
                  <w14:solidFill>
                    <w14:schemeClr w14:val="tx1"/>
                  </w14:solidFill>
                </w14:textFill>
              </w:rPr>
            </w:pPr>
          </w:p>
        </w:tc>
      </w:tr>
      <w:tr w14:paraId="4A2D1E3B">
        <w:tblPrEx>
          <w:tblCellMar>
            <w:top w:w="0" w:type="dxa"/>
            <w:left w:w="108" w:type="dxa"/>
            <w:bottom w:w="0" w:type="dxa"/>
            <w:right w:w="108" w:type="dxa"/>
          </w:tblCellMar>
        </w:tblPrEx>
        <w:trPr>
          <w:trHeight w:val="484" w:hRule="atLeast"/>
        </w:trPr>
        <w:tc>
          <w:tcPr>
            <w:tcW w:w="552" w:type="pct"/>
            <w:tcBorders>
              <w:top w:val="nil"/>
              <w:left w:val="nil"/>
              <w:bottom w:val="single" w:color="000000" w:sz="4" w:space="0"/>
              <w:right w:val="nil"/>
            </w:tcBorders>
            <w:vAlign w:val="center"/>
          </w:tcPr>
          <w:p w14:paraId="36EFB8E1">
            <w:pPr>
              <w:adjustRightInd w:val="0"/>
              <w:snapToGrid w:val="0"/>
              <w:jc w:val="center"/>
              <w:rPr>
                <w:rFonts w:hint="eastAsia" w:ascii="Wingdings 2" w:hAnsi="Wingdings 2"/>
                <w:b/>
                <w:color w:val="000000" w:themeColor="text1"/>
                <w:sz w:val="40"/>
                <w14:textFill>
                  <w14:solidFill>
                    <w14:schemeClr w14:val="tx1"/>
                  </w14:solidFill>
                </w14:textFill>
              </w:rPr>
            </w:pPr>
            <w:r>
              <w:rPr>
                <w:rFonts w:hint="eastAsia" w:ascii="Wingdings 2" w:hAnsi="Wingdings 2" w:cs="Wingdings 2"/>
                <w:b/>
                <w:bCs/>
                <w:sz w:val="40"/>
                <w:szCs w:val="40"/>
              </w:rPr>
              <w:sym w:font="Wingdings 2" w:char="F07B"/>
            </w:r>
          </w:p>
        </w:tc>
        <w:tc>
          <w:tcPr>
            <w:tcW w:w="4447" w:type="pct"/>
            <w:gridSpan w:val="2"/>
            <w:tcBorders>
              <w:top w:val="nil"/>
              <w:left w:val="nil"/>
              <w:bottom w:val="single" w:color="000000" w:sz="4" w:space="0"/>
              <w:right w:val="nil"/>
            </w:tcBorders>
            <w:vAlign w:val="center"/>
          </w:tcPr>
          <w:p w14:paraId="25946D2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其他需要关注的事项</w:t>
            </w:r>
          </w:p>
        </w:tc>
      </w:tr>
      <w:tr w14:paraId="0F0EEE88">
        <w:tblPrEx>
          <w:tblCellMar>
            <w:top w:w="0" w:type="dxa"/>
            <w:left w:w="108" w:type="dxa"/>
            <w:bottom w:w="0" w:type="dxa"/>
            <w:right w:w="108" w:type="dxa"/>
          </w:tblCellMar>
        </w:tblPrEx>
        <w:tc>
          <w:tcPr>
            <w:tcW w:w="552" w:type="pct"/>
            <w:tcBorders>
              <w:top w:val="single" w:color="000000" w:sz="4" w:space="0"/>
            </w:tcBorders>
          </w:tcPr>
          <w:p w14:paraId="3FED90D4">
            <w:pPr>
              <w:jc w:val="center"/>
              <w:rPr>
                <w:rFonts w:ascii="宋体" w:hAnsi="宋体"/>
                <w:b/>
                <w:color w:val="000000" w:themeColor="text1"/>
                <w:szCs w:val="24"/>
                <w14:textFill>
                  <w14:solidFill>
                    <w14:schemeClr w14:val="tx1"/>
                  </w14:solidFill>
                </w14:textFill>
              </w:rPr>
            </w:pPr>
          </w:p>
        </w:tc>
        <w:tc>
          <w:tcPr>
            <w:tcW w:w="962" w:type="pct"/>
            <w:tcBorders>
              <w:top w:val="single" w:color="000000" w:sz="4" w:space="0"/>
            </w:tcBorders>
          </w:tcPr>
          <w:p w14:paraId="17D9F53A">
            <w:pPr>
              <w:rPr>
                <w:rFonts w:ascii="宋体" w:hAnsi="宋体"/>
                <w:b/>
                <w:color w:val="000000" w:themeColor="text1"/>
                <w:szCs w:val="24"/>
                <w14:textFill>
                  <w14:solidFill>
                    <w14:schemeClr w14:val="tx1"/>
                  </w14:solidFill>
                </w14:textFill>
              </w:rPr>
            </w:pPr>
          </w:p>
        </w:tc>
        <w:tc>
          <w:tcPr>
            <w:tcW w:w="3484" w:type="pct"/>
            <w:tcBorders>
              <w:top w:val="single" w:color="000000" w:sz="4" w:space="0"/>
            </w:tcBorders>
          </w:tcPr>
          <w:p w14:paraId="1FA16E3D">
            <w:pPr>
              <w:rPr>
                <w:rFonts w:ascii="宋体" w:hAnsi="宋体"/>
                <w:color w:val="000000" w:themeColor="text1"/>
                <w:szCs w:val="24"/>
                <w14:textFill>
                  <w14:solidFill>
                    <w14:schemeClr w14:val="tx1"/>
                  </w14:solidFill>
                </w14:textFill>
              </w:rPr>
            </w:pPr>
          </w:p>
        </w:tc>
      </w:tr>
      <w:tr w14:paraId="156F8C5D">
        <w:tblPrEx>
          <w:tblCellMar>
            <w:top w:w="0" w:type="dxa"/>
            <w:left w:w="108" w:type="dxa"/>
            <w:bottom w:w="0" w:type="dxa"/>
            <w:right w:w="108" w:type="dxa"/>
          </w:tblCellMar>
        </w:tblPrEx>
        <w:tc>
          <w:tcPr>
            <w:tcW w:w="552" w:type="pct"/>
          </w:tcPr>
          <w:p w14:paraId="4AE19F1D">
            <w:pPr>
              <w:jc w:val="center"/>
              <w:rPr>
                <w:rFonts w:ascii="宋体" w:hAnsi="宋体"/>
                <w:b/>
                <w:color w:val="000000" w:themeColor="text1"/>
                <w:szCs w:val="24"/>
                <w14:textFill>
                  <w14:solidFill>
                    <w14:schemeClr w14:val="tx1"/>
                  </w14:solidFill>
                </w14:textFill>
              </w:rPr>
            </w:pPr>
            <w:r>
              <w:rPr>
                <w:rFonts w:hint="eastAsia" w:ascii="宋体" w:hAnsi="宋体" w:cs="宋体"/>
                <w:b/>
                <w:bCs/>
                <w:lang w:val="en-US" w:eastAsia="zh-CN"/>
              </w:rPr>
              <w:t>7</w:t>
            </w:r>
            <w:r>
              <w:rPr>
                <w:rFonts w:ascii="宋体" w:hAnsi="宋体" w:cs="宋体"/>
                <w:b/>
                <w:bCs/>
              </w:rPr>
              <w:t>.1</w:t>
            </w:r>
          </w:p>
        </w:tc>
        <w:tc>
          <w:tcPr>
            <w:tcW w:w="962" w:type="pct"/>
          </w:tcPr>
          <w:p w14:paraId="4CA1EEDB">
            <w:pPr>
              <w:rPr>
                <w:rFonts w:ascii="宋体" w:hAnsi="宋体"/>
                <w:b/>
                <w:color w:val="000000" w:themeColor="text1"/>
                <w14:textFill>
                  <w14:solidFill>
                    <w14:schemeClr w14:val="tx1"/>
                  </w14:solidFill>
                </w14:textFill>
              </w:rPr>
            </w:pPr>
            <w:r>
              <w:rPr>
                <w:rFonts w:hint="eastAsia" w:ascii="宋体" w:hAnsi="宋体" w:cs="宋体"/>
                <w:b/>
                <w:bCs/>
              </w:rPr>
              <w:t>明确说明与如实告知</w:t>
            </w:r>
          </w:p>
        </w:tc>
        <w:tc>
          <w:tcPr>
            <w:tcW w:w="3484" w:type="pct"/>
          </w:tcPr>
          <w:p w14:paraId="7B5520CB">
            <w:pPr>
              <w:rPr>
                <w:rFonts w:ascii="宋体" w:hAnsi="宋体" w:cs="宋体"/>
              </w:rPr>
            </w:pPr>
            <w:r>
              <w:rPr>
                <w:rFonts w:hint="eastAsia" w:ascii="宋体" w:hAnsi="宋体" w:cs="宋体"/>
              </w:rPr>
              <w:t>订立本主险合同时，我们会向您说明本主险合同的内容。对本主险合同中免除我们责任的条款，我们在订立合同时会在投保书、保险单或其他保险凭证上作出足以引起您注意的提示，并对该条款的内容以书面或口头形式向您作出明确说明，未作提示或者明确说明的，该条款不产生效力。</w:t>
            </w:r>
          </w:p>
          <w:p w14:paraId="0BD818C4">
            <w:pPr>
              <w:rPr>
                <w:rFonts w:ascii="宋体"/>
              </w:rPr>
            </w:pPr>
            <w:r>
              <w:rPr>
                <w:rFonts w:hint="eastAsia" w:ascii="宋体" w:hAnsi="宋体" w:cs="宋体"/>
              </w:rPr>
              <w:t>我们就您和被保险人的有关情况提出询问，您应当如实告知。</w:t>
            </w:r>
            <w:r>
              <w:rPr>
                <w:rFonts w:hint="eastAsia" w:ascii="宋体" w:hAnsi="宋体" w:cs="宋体"/>
                <w:b/>
              </w:rPr>
              <w:t>我们的询问和您的告知将记载于本主险合同中作为保险合同的重要组成部分。</w:t>
            </w:r>
          </w:p>
          <w:p w14:paraId="7C3AC4FB">
            <w:pPr>
              <w:rPr>
                <w:rFonts w:ascii="宋体"/>
                <w:shd w:val="pct10" w:color="auto" w:fill="FFFFFF"/>
              </w:rPr>
            </w:pPr>
            <w:r>
              <w:rPr>
                <w:rFonts w:hint="eastAsia" w:ascii="宋体" w:hAnsi="宋体" w:cs="宋体"/>
                <w:shd w:val="pct10" w:color="auto" w:fill="FFFFFF"/>
              </w:rPr>
              <w:t>如果您故意或者因重大过失未履行前款规定的如实告知义务，足以影响我们决定是否同意承保或者提高保险费率的，我们有权解除本主险合同。</w:t>
            </w:r>
          </w:p>
          <w:p w14:paraId="75A3D0B5">
            <w:pPr>
              <w:rPr>
                <w:rFonts w:ascii="宋体"/>
                <w:shd w:val="pct10" w:color="auto" w:fill="FFFFFF"/>
              </w:rPr>
            </w:pPr>
            <w:r>
              <w:rPr>
                <w:rFonts w:hint="eastAsia" w:ascii="宋体" w:hAnsi="宋体" w:cs="宋体"/>
                <w:shd w:val="pct10" w:color="auto" w:fill="FFFFFF"/>
              </w:rPr>
              <w:t>如果您故意不履行如实告知义务，对于本主险合同解除前发生的保险事故，我们不承担给付保险金的责任，并不退还保险费。</w:t>
            </w:r>
          </w:p>
          <w:p w14:paraId="288AB5F4">
            <w:pPr>
              <w:rPr>
                <w:rFonts w:ascii="宋体"/>
              </w:rPr>
            </w:pPr>
            <w:r>
              <w:rPr>
                <w:rFonts w:hint="eastAsia" w:ascii="宋体" w:hAnsi="宋体" w:cs="宋体"/>
                <w:shd w:val="pct10" w:color="auto" w:fill="FFFFFF"/>
              </w:rPr>
              <w:t>如果您因重大过失未履行如实告知义务，对保险事故的发生有严重影响的，对于本主险合同解除前发生的保险事故，我们不承担给付保险金的责任，但会退还保险费。</w:t>
            </w:r>
          </w:p>
          <w:p w14:paraId="6C731167">
            <w:pPr>
              <w:ind w:left="-15" w:leftChars="-7" w:firstLine="14" w:firstLineChars="7"/>
              <w:rPr>
                <w:rFonts w:ascii="宋体" w:hAnsi="宋体" w:cs="宋体"/>
              </w:rPr>
            </w:pPr>
            <w:r>
              <w:rPr>
                <w:rFonts w:hint="eastAsia" w:ascii="宋体" w:hAnsi="宋体" w:cs="宋体"/>
              </w:rPr>
              <w:t>上述合同解除权，自我们知道解除事由之日起超过30日不行使而消灭；我们在合同订立时已经知道您未如实告知的情况的，我们不得解除合同；自本主险合同成立或复效之日起满2年的，我们不得解除保险合同，发生保险事故的，我们承担给付保险金的责任。</w:t>
            </w:r>
          </w:p>
        </w:tc>
      </w:tr>
      <w:tr w14:paraId="3C1EF695">
        <w:tblPrEx>
          <w:tblCellMar>
            <w:top w:w="0" w:type="dxa"/>
            <w:left w:w="108" w:type="dxa"/>
            <w:bottom w:w="0" w:type="dxa"/>
            <w:right w:w="108" w:type="dxa"/>
          </w:tblCellMar>
        </w:tblPrEx>
        <w:tc>
          <w:tcPr>
            <w:tcW w:w="552" w:type="pct"/>
          </w:tcPr>
          <w:p w14:paraId="73688DA5">
            <w:pPr>
              <w:jc w:val="center"/>
              <w:rPr>
                <w:rFonts w:ascii="宋体" w:hAnsi="宋体"/>
                <w:b/>
                <w:color w:val="000000" w:themeColor="text1"/>
                <w:szCs w:val="24"/>
                <w14:textFill>
                  <w14:solidFill>
                    <w14:schemeClr w14:val="tx1"/>
                  </w14:solidFill>
                </w14:textFill>
              </w:rPr>
            </w:pPr>
          </w:p>
        </w:tc>
        <w:tc>
          <w:tcPr>
            <w:tcW w:w="962" w:type="pct"/>
          </w:tcPr>
          <w:p w14:paraId="0D0EE62F">
            <w:pPr>
              <w:rPr>
                <w:rFonts w:ascii="宋体" w:hAnsi="宋体" w:cs="宋体"/>
                <w:b/>
                <w:bCs/>
                <w:color w:val="000000" w:themeColor="text1"/>
                <w14:textFill>
                  <w14:solidFill>
                    <w14:schemeClr w14:val="tx1"/>
                  </w14:solidFill>
                </w14:textFill>
              </w:rPr>
            </w:pPr>
          </w:p>
        </w:tc>
        <w:tc>
          <w:tcPr>
            <w:tcW w:w="3484" w:type="pct"/>
          </w:tcPr>
          <w:p w14:paraId="0FA15AA4">
            <w:pPr>
              <w:rPr>
                <w:rFonts w:ascii="宋体" w:hAnsi="宋体" w:cs="宋体"/>
                <w:color w:val="000000" w:themeColor="text1"/>
                <w14:textFill>
                  <w14:solidFill>
                    <w14:schemeClr w14:val="tx1"/>
                  </w14:solidFill>
                </w14:textFill>
              </w:rPr>
            </w:pPr>
          </w:p>
        </w:tc>
      </w:tr>
      <w:tr w14:paraId="6F50A317">
        <w:tblPrEx>
          <w:tblCellMar>
            <w:top w:w="0" w:type="dxa"/>
            <w:left w:w="108" w:type="dxa"/>
            <w:bottom w:w="0" w:type="dxa"/>
            <w:right w:w="108" w:type="dxa"/>
          </w:tblCellMar>
        </w:tblPrEx>
        <w:tc>
          <w:tcPr>
            <w:tcW w:w="552" w:type="pct"/>
          </w:tcPr>
          <w:p w14:paraId="0AE68407">
            <w:pPr>
              <w:jc w:val="center"/>
              <w:rPr>
                <w:rFonts w:ascii="宋体" w:hAnsi="宋体"/>
                <w:b/>
                <w:color w:val="000000" w:themeColor="text1"/>
                <w:szCs w:val="24"/>
                <w14:textFill>
                  <w14:solidFill>
                    <w14:schemeClr w14:val="tx1"/>
                  </w14:solidFill>
                </w14:textFill>
              </w:rPr>
            </w:pPr>
            <w:r>
              <w:rPr>
                <w:rFonts w:hint="eastAsia" w:ascii="宋体" w:cs="宋体"/>
                <w:b/>
                <w:bCs/>
                <w:lang w:val="en-US" w:eastAsia="zh-CN"/>
              </w:rPr>
              <w:t>7</w:t>
            </w:r>
            <w:r>
              <w:rPr>
                <w:rFonts w:ascii="宋体" w:cs="宋体"/>
                <w:b/>
                <w:bCs/>
              </w:rPr>
              <w:t>.</w:t>
            </w:r>
            <w:r>
              <w:rPr>
                <w:rFonts w:ascii="宋体" w:hAnsi="宋体" w:cs="宋体"/>
                <w:b/>
                <w:bCs/>
              </w:rPr>
              <w:t>2</w:t>
            </w:r>
          </w:p>
        </w:tc>
        <w:tc>
          <w:tcPr>
            <w:tcW w:w="962" w:type="pct"/>
          </w:tcPr>
          <w:p w14:paraId="4863C879">
            <w:pPr>
              <w:rPr>
                <w:rFonts w:ascii="宋体"/>
                <w:color w:val="000000" w:themeColor="text1"/>
                <w14:textFill>
                  <w14:solidFill>
                    <w14:schemeClr w14:val="tx1"/>
                  </w14:solidFill>
                </w14:textFill>
              </w:rPr>
            </w:pPr>
            <w:r>
              <w:rPr>
                <w:rFonts w:hint="eastAsia" w:ascii="宋体" w:hAnsi="宋体" w:cs="宋体"/>
                <w:b/>
                <w:bCs/>
              </w:rPr>
              <w:t>年龄与性别错误</w:t>
            </w:r>
          </w:p>
        </w:tc>
        <w:tc>
          <w:tcPr>
            <w:tcW w:w="3484" w:type="pct"/>
          </w:tcPr>
          <w:p w14:paraId="370EB22F">
            <w:pPr>
              <w:ind w:firstLine="2"/>
            </w:pPr>
            <w:r>
              <w:rPr>
                <w:rFonts w:hint="eastAsia" w:hAnsi="宋体" w:cs="宋体"/>
              </w:rPr>
              <w:t>您在申请投保时，应将与有效身份证件相符的被保险人的出生日期和性别在投保书上填明，如果发生错误按照下列方式办理：</w:t>
            </w:r>
          </w:p>
          <w:p w14:paraId="49D681F3">
            <w:pPr>
              <w:numPr>
                <w:ilvl w:val="0"/>
                <w:numId w:val="17"/>
              </w:numPr>
              <w:ind w:left="425" w:leftChars="0" w:hanging="425" w:firstLineChars="0"/>
            </w:pPr>
            <w:r>
              <w:rPr>
                <w:rFonts w:hint="eastAsia"/>
                <w:shd w:val="pct10" w:color="auto" w:fill="FFFFFF"/>
              </w:rPr>
              <w:t>您申报的被保险人年龄不真实，并且其真实年龄不符合本主险合同约定投保年龄限制的，我们有权解除合同，并向您退还本主险合同的现金价值；</w:t>
            </w:r>
          </w:p>
          <w:p w14:paraId="45442F0E">
            <w:pPr>
              <w:numPr>
                <w:ilvl w:val="0"/>
                <w:numId w:val="17"/>
              </w:numPr>
              <w:ind w:left="425" w:leftChars="0" w:hanging="425" w:firstLineChars="0"/>
            </w:pPr>
            <w:r>
              <w:rPr>
                <w:rFonts w:hint="eastAsia"/>
              </w:rPr>
              <w:t>您申报的被保险人年龄或性别不真实，致使您实付保险费少于应付保险费的，我们有权更正并要求您补交保险费。</w:t>
            </w:r>
            <w:r>
              <w:rPr>
                <w:rFonts w:hint="eastAsia"/>
                <w:shd w:val="pct10" w:color="auto" w:fill="FFFFFF"/>
              </w:rPr>
              <w:t>若已经发生保险事故，在给付保险金时按实付保险费和应付保险费的比例给付；</w:t>
            </w:r>
          </w:p>
          <w:p w14:paraId="63CDF584">
            <w:pPr>
              <w:numPr>
                <w:ilvl w:val="0"/>
                <w:numId w:val="17"/>
              </w:numPr>
              <w:ind w:left="425" w:leftChars="0" w:hanging="425" w:firstLineChars="0"/>
              <w:rPr>
                <w:rFonts w:ascii="宋体"/>
                <w:color w:val="000000" w:themeColor="text1"/>
                <w14:textFill>
                  <w14:solidFill>
                    <w14:schemeClr w14:val="tx1"/>
                  </w14:solidFill>
                </w14:textFill>
              </w:rPr>
            </w:pPr>
            <w:r>
              <w:rPr>
                <w:rFonts w:hint="eastAsia"/>
              </w:rPr>
              <w:t>您申报的被保险人年龄或性别不真实，致使您实付保险费多于应付保险费的，我们会将多收的保险费退还给您。</w:t>
            </w:r>
          </w:p>
        </w:tc>
      </w:tr>
      <w:tr w14:paraId="309914B0">
        <w:tblPrEx>
          <w:tblCellMar>
            <w:top w:w="0" w:type="dxa"/>
            <w:left w:w="108" w:type="dxa"/>
            <w:bottom w:w="0" w:type="dxa"/>
            <w:right w:w="108" w:type="dxa"/>
          </w:tblCellMar>
        </w:tblPrEx>
        <w:tc>
          <w:tcPr>
            <w:tcW w:w="552" w:type="pct"/>
          </w:tcPr>
          <w:p w14:paraId="038D96E8">
            <w:pPr>
              <w:jc w:val="center"/>
              <w:rPr>
                <w:rFonts w:ascii="宋体" w:cs="宋体"/>
                <w:b/>
                <w:bCs/>
              </w:rPr>
            </w:pPr>
          </w:p>
        </w:tc>
        <w:tc>
          <w:tcPr>
            <w:tcW w:w="962" w:type="pct"/>
          </w:tcPr>
          <w:p w14:paraId="69E2E4F9">
            <w:pPr>
              <w:rPr>
                <w:rFonts w:ascii="宋体" w:hAnsi="宋体" w:cs="宋体"/>
                <w:b/>
                <w:bCs/>
              </w:rPr>
            </w:pPr>
          </w:p>
        </w:tc>
        <w:tc>
          <w:tcPr>
            <w:tcW w:w="3484" w:type="pct"/>
          </w:tcPr>
          <w:p w14:paraId="4077021E">
            <w:pPr>
              <w:ind w:firstLine="2"/>
              <w:rPr>
                <w:rFonts w:hAnsi="宋体" w:cs="宋体"/>
              </w:rPr>
            </w:pPr>
          </w:p>
        </w:tc>
      </w:tr>
      <w:tr w14:paraId="7E4F6576">
        <w:tblPrEx>
          <w:tblCellMar>
            <w:top w:w="0" w:type="dxa"/>
            <w:left w:w="108" w:type="dxa"/>
            <w:bottom w:w="0" w:type="dxa"/>
            <w:right w:w="108" w:type="dxa"/>
          </w:tblCellMar>
        </w:tblPrEx>
        <w:tc>
          <w:tcPr>
            <w:tcW w:w="552" w:type="pct"/>
          </w:tcPr>
          <w:p w14:paraId="7BBB6AF7">
            <w:pPr>
              <w:jc w:val="center"/>
              <w:rPr>
                <w:rFonts w:ascii="宋体" w:hAnsi="宋体" w:cs="宋体"/>
                <w:b/>
                <w:bCs/>
              </w:rPr>
            </w:pPr>
            <w:r>
              <w:rPr>
                <w:rFonts w:hint="eastAsia" w:ascii="宋体" w:hAnsi="宋体" w:cs="宋体"/>
                <w:b/>
                <w:bCs/>
                <w:lang w:val="en-US" w:eastAsia="zh-CN"/>
              </w:rPr>
              <w:t>7</w:t>
            </w:r>
            <w:r>
              <w:rPr>
                <w:rFonts w:hint="eastAsia" w:ascii="宋体" w:hAnsi="宋体" w:cs="宋体"/>
                <w:b/>
                <w:bCs/>
              </w:rPr>
              <w:t>.3</w:t>
            </w:r>
          </w:p>
        </w:tc>
        <w:tc>
          <w:tcPr>
            <w:tcW w:w="962" w:type="pct"/>
          </w:tcPr>
          <w:p w14:paraId="60038D6D">
            <w:pPr>
              <w:rPr>
                <w:rFonts w:hint="default" w:ascii="宋体" w:hAnsi="宋体" w:eastAsia="宋体" w:cs="宋体"/>
                <w:b/>
                <w:bCs/>
                <w:lang w:val="en-US" w:eastAsia="zh-CN"/>
              </w:rPr>
            </w:pPr>
            <w:r>
              <w:rPr>
                <w:rFonts w:hint="eastAsia" w:ascii="宋体" w:hAnsi="宋体" w:cs="宋体"/>
                <w:b/>
                <w:bCs/>
                <w:lang w:val="en-US" w:eastAsia="zh-CN"/>
              </w:rPr>
              <w:t>减少基本保险金额</w:t>
            </w:r>
          </w:p>
        </w:tc>
        <w:tc>
          <w:tcPr>
            <w:tcW w:w="3484" w:type="pct"/>
          </w:tcPr>
          <w:p w14:paraId="139E5E19">
            <w:pPr>
              <w:pStyle w:val="2"/>
              <w:rPr>
                <w:rFonts w:hint="eastAsia"/>
              </w:rPr>
            </w:pPr>
            <w:r>
              <w:rPr>
                <w:rFonts w:hint="eastAsia"/>
              </w:rPr>
              <w:t>在本主险合同犹豫期后且在本主险合同有效期内，投保人可向我们申请减少本主险合同的基本保险金额，经我们审核同意后，基本保险金额减少，我们向投保人退还基本保险金额减少部分对应的现金价值。投保人每个保单年度内累计申请减少的基本保险金额之和，不得超过本主险合同生效时基本保险金额的</w:t>
            </w:r>
            <w:r>
              <w:rPr>
                <w:rFonts w:hint="eastAsia" w:ascii="宋体" w:hAnsi="宋体" w:eastAsia="宋体" w:cs="宋体"/>
              </w:rPr>
              <w:t>20%</w:t>
            </w:r>
            <w:r>
              <w:rPr>
                <w:rFonts w:hint="eastAsia"/>
              </w:rPr>
              <w:t xml:space="preserve">。 </w:t>
            </w:r>
          </w:p>
          <w:p w14:paraId="6E4DF222">
            <w:pPr>
              <w:pStyle w:val="2"/>
              <w:rPr>
                <w:rFonts w:hint="eastAsia"/>
              </w:rPr>
            </w:pPr>
            <w:r>
              <w:rPr>
                <w:rFonts w:hint="eastAsia"/>
              </w:rPr>
              <w:t>基本保险金额减少后，本主险合同的各期保险费金额按减少后的基本保险金额重新计算，并且保险费金额需符合我们规定的最低标准。</w:t>
            </w:r>
          </w:p>
          <w:p w14:paraId="5398154B">
            <w:pPr>
              <w:pStyle w:val="2"/>
              <w:rPr>
                <w:rFonts w:ascii="宋体" w:hAnsi="宋体" w:cs="宋体"/>
              </w:rPr>
            </w:pPr>
            <w:r>
              <w:rPr>
                <w:rFonts w:hint="eastAsia"/>
              </w:rPr>
              <w:t>基本保险金额减少后，</w:t>
            </w:r>
            <w:r>
              <w:rPr>
                <w:rFonts w:hint="eastAsia" w:ascii="宋体" w:hAnsi="宋体" w:eastAsia="宋体"/>
                <w:sz w:val="21"/>
                <w:szCs w:val="22"/>
                <w:lang w:val="en-US"/>
              </w:rPr>
              <w:t>本主险合同已交纳的保险费金额、各保单年度的现金价值和一般医疗保险金在减少基本保险金额后的每个保单年度内的赔付限额同比例减少</w:t>
            </w:r>
            <w:r>
              <w:rPr>
                <w:rFonts w:hint="eastAsia"/>
              </w:rPr>
              <w:t>。我们按减少后的基本保险金额、已交纳的保险费金额和各保单年度的现金价值承担保险责任。</w:t>
            </w:r>
          </w:p>
        </w:tc>
      </w:tr>
      <w:tr w14:paraId="7C923DD7">
        <w:tblPrEx>
          <w:tblCellMar>
            <w:top w:w="0" w:type="dxa"/>
            <w:left w:w="108" w:type="dxa"/>
            <w:bottom w:w="0" w:type="dxa"/>
            <w:right w:w="108" w:type="dxa"/>
          </w:tblCellMar>
        </w:tblPrEx>
        <w:tc>
          <w:tcPr>
            <w:tcW w:w="552" w:type="pct"/>
          </w:tcPr>
          <w:p w14:paraId="167590AB">
            <w:pPr>
              <w:jc w:val="center"/>
              <w:rPr>
                <w:rFonts w:hint="eastAsia" w:ascii="宋体" w:hAnsi="宋体" w:cs="宋体"/>
                <w:b/>
                <w:bCs/>
                <w:lang w:val="en-US" w:eastAsia="zh-CN"/>
              </w:rPr>
            </w:pPr>
          </w:p>
        </w:tc>
        <w:tc>
          <w:tcPr>
            <w:tcW w:w="962" w:type="pct"/>
          </w:tcPr>
          <w:p w14:paraId="266AFB7D">
            <w:pPr>
              <w:rPr>
                <w:rFonts w:hint="eastAsia" w:ascii="宋体" w:hAnsi="宋体" w:cs="宋体"/>
                <w:b/>
                <w:bCs/>
              </w:rPr>
            </w:pPr>
          </w:p>
        </w:tc>
        <w:tc>
          <w:tcPr>
            <w:tcW w:w="3484" w:type="pct"/>
          </w:tcPr>
          <w:p w14:paraId="39988911">
            <w:pPr>
              <w:rPr>
                <w:rFonts w:hint="eastAsia" w:ascii="宋体" w:hAnsi="宋体" w:cs="宋体"/>
              </w:rPr>
            </w:pPr>
          </w:p>
        </w:tc>
      </w:tr>
      <w:tr w14:paraId="42CECB92">
        <w:tblPrEx>
          <w:tblCellMar>
            <w:top w:w="0" w:type="dxa"/>
            <w:left w:w="108" w:type="dxa"/>
            <w:bottom w:w="0" w:type="dxa"/>
            <w:right w:w="108" w:type="dxa"/>
          </w:tblCellMar>
        </w:tblPrEx>
        <w:tc>
          <w:tcPr>
            <w:tcW w:w="552" w:type="pct"/>
          </w:tcPr>
          <w:p w14:paraId="4478D845">
            <w:pPr>
              <w:jc w:val="center"/>
              <w:rPr>
                <w:rFonts w:hint="default" w:ascii="宋体" w:hAnsi="宋体" w:cs="宋体"/>
                <w:b/>
                <w:bCs/>
                <w:lang w:val="en-US" w:eastAsia="zh-CN"/>
              </w:rPr>
            </w:pPr>
            <w:r>
              <w:rPr>
                <w:rFonts w:hint="eastAsia" w:ascii="宋体" w:hAnsi="宋体" w:cs="宋体"/>
                <w:b/>
                <w:bCs/>
                <w:lang w:val="en-US" w:eastAsia="zh-CN"/>
              </w:rPr>
              <w:t>7.4</w:t>
            </w:r>
          </w:p>
        </w:tc>
        <w:tc>
          <w:tcPr>
            <w:tcW w:w="962" w:type="pct"/>
            <w:shd w:val="clear" w:color="auto" w:fill="auto"/>
            <w:vAlign w:val="top"/>
          </w:tcPr>
          <w:p w14:paraId="4482D4B2">
            <w:pPr>
              <w:rPr>
                <w:rFonts w:hint="eastAsia" w:ascii="宋体" w:hAnsi="宋体" w:cs="宋体"/>
                <w:b/>
                <w:bCs/>
              </w:rPr>
            </w:pPr>
            <w:r>
              <w:rPr>
                <w:rFonts w:hint="eastAsia" w:ascii="宋体" w:hAnsi="宋体" w:cs="宋体"/>
                <w:b/>
                <w:bCs/>
              </w:rPr>
              <w:t>职业或工种变更</w:t>
            </w:r>
          </w:p>
        </w:tc>
        <w:tc>
          <w:tcPr>
            <w:tcW w:w="3484" w:type="pct"/>
            <w:shd w:val="clear" w:color="auto" w:fill="auto"/>
            <w:vAlign w:val="top"/>
          </w:tcPr>
          <w:p w14:paraId="69E497C3">
            <w:pPr>
              <w:rPr>
                <w:rFonts w:hint="eastAsia"/>
                <w:shd w:val="clear" w:color="FFFFFF" w:fill="D9D9D9"/>
              </w:rPr>
            </w:pPr>
            <w:r>
              <w:rPr>
                <w:rFonts w:hint="eastAsia"/>
              </w:rPr>
              <w:t>被保险人的职业或工种发生变更时，应于10日内以书面形式通知我们。</w:t>
            </w:r>
            <w:r>
              <w:rPr>
                <w:rFonts w:hint="eastAsia"/>
                <w:shd w:val="clear" w:color="FFFFFF" w:fill="D9D9D9"/>
              </w:rPr>
              <w:t xml:space="preserve">被保险人所变更的职业或者工种依照我们职业分类在本主险合同拒保范 围内的，自我们接到通知之日起，本主险合同终止，我们将无息退还现金价值。 </w:t>
            </w:r>
          </w:p>
          <w:p w14:paraId="05538470">
            <w:pPr>
              <w:rPr>
                <w:rFonts w:hint="eastAsia" w:ascii="宋体" w:hAnsi="宋体" w:cs="宋体"/>
              </w:rPr>
            </w:pPr>
            <w:r>
              <w:rPr>
                <w:rFonts w:hint="eastAsia"/>
                <w:shd w:val="clear" w:color="FFFFFF" w:fill="D9D9D9"/>
              </w:rPr>
              <w:t>被保险人的职业或工种变更之后而未依前项约定通知我们而发生保险事故的，如被保险人职业或工种变更之后在本主险合同拒保范围内，我们不承担给付保险金责任。</w:t>
            </w:r>
          </w:p>
        </w:tc>
      </w:tr>
      <w:tr w14:paraId="7A8E980C">
        <w:tblPrEx>
          <w:tblCellMar>
            <w:top w:w="0" w:type="dxa"/>
            <w:left w:w="108" w:type="dxa"/>
            <w:bottom w:w="0" w:type="dxa"/>
            <w:right w:w="108" w:type="dxa"/>
          </w:tblCellMar>
        </w:tblPrEx>
        <w:tc>
          <w:tcPr>
            <w:tcW w:w="552" w:type="pct"/>
          </w:tcPr>
          <w:p w14:paraId="3D5E0789">
            <w:pPr>
              <w:jc w:val="center"/>
              <w:rPr>
                <w:rFonts w:hint="eastAsia" w:ascii="宋体" w:hAnsi="宋体" w:cs="宋体"/>
                <w:b/>
                <w:bCs/>
                <w:lang w:val="en-US" w:eastAsia="zh-CN"/>
              </w:rPr>
            </w:pPr>
          </w:p>
        </w:tc>
        <w:tc>
          <w:tcPr>
            <w:tcW w:w="962" w:type="pct"/>
            <w:shd w:val="clear" w:color="auto" w:fill="auto"/>
            <w:vAlign w:val="top"/>
          </w:tcPr>
          <w:p w14:paraId="5897615D">
            <w:pPr>
              <w:rPr>
                <w:rFonts w:hint="eastAsia" w:ascii="宋体" w:hAnsi="宋体" w:cs="宋体"/>
                <w:b/>
                <w:bCs/>
              </w:rPr>
            </w:pPr>
          </w:p>
        </w:tc>
        <w:tc>
          <w:tcPr>
            <w:tcW w:w="3484" w:type="pct"/>
            <w:shd w:val="clear" w:color="auto" w:fill="auto"/>
            <w:vAlign w:val="top"/>
          </w:tcPr>
          <w:p w14:paraId="1345FFA1">
            <w:pPr>
              <w:rPr>
                <w:rFonts w:hint="eastAsia" w:ascii="宋体" w:hAnsi="宋体" w:cs="宋体"/>
              </w:rPr>
            </w:pPr>
          </w:p>
        </w:tc>
      </w:tr>
      <w:tr w14:paraId="4A368F1D">
        <w:tblPrEx>
          <w:tblCellMar>
            <w:top w:w="0" w:type="dxa"/>
            <w:left w:w="108" w:type="dxa"/>
            <w:bottom w:w="0" w:type="dxa"/>
            <w:right w:w="108" w:type="dxa"/>
          </w:tblCellMar>
        </w:tblPrEx>
        <w:tc>
          <w:tcPr>
            <w:tcW w:w="552" w:type="pct"/>
          </w:tcPr>
          <w:p w14:paraId="4A88DA44">
            <w:pPr>
              <w:jc w:val="center"/>
              <w:rPr>
                <w:rFonts w:hint="default" w:ascii="宋体" w:hAnsi="宋体" w:cs="宋体"/>
                <w:b/>
                <w:bCs/>
                <w:lang w:val="en-US" w:eastAsia="zh-CN"/>
              </w:rPr>
            </w:pPr>
            <w:r>
              <w:rPr>
                <w:rFonts w:hint="eastAsia" w:ascii="宋体" w:hAnsi="宋体" w:cs="宋体"/>
                <w:b/>
                <w:bCs/>
                <w:lang w:val="en-US" w:eastAsia="zh-CN"/>
              </w:rPr>
              <w:t>7.5</w:t>
            </w:r>
          </w:p>
        </w:tc>
        <w:tc>
          <w:tcPr>
            <w:tcW w:w="962" w:type="pct"/>
            <w:shd w:val="clear" w:color="auto" w:fill="auto"/>
            <w:vAlign w:val="top"/>
          </w:tcPr>
          <w:p w14:paraId="0F7747E0">
            <w:pPr>
              <w:rPr>
                <w:rFonts w:hint="eastAsia" w:ascii="宋体" w:hAnsi="宋体" w:eastAsia="宋体" w:cs="宋体"/>
                <w:b/>
                <w:bCs/>
                <w:kern w:val="2"/>
                <w:sz w:val="21"/>
                <w:szCs w:val="22"/>
                <w:lang w:val="en-US" w:eastAsia="zh-CN" w:bidi="ar-SA"/>
              </w:rPr>
            </w:pPr>
            <w:r>
              <w:rPr>
                <w:rFonts w:hint="eastAsia" w:ascii="宋体" w:hAnsi="宋体" w:cs="宋体"/>
                <w:b/>
                <w:bCs/>
              </w:rPr>
              <w:t>未还款项</w:t>
            </w:r>
          </w:p>
        </w:tc>
        <w:tc>
          <w:tcPr>
            <w:tcW w:w="3484" w:type="pct"/>
            <w:shd w:val="clear" w:color="auto" w:fill="auto"/>
            <w:vAlign w:val="top"/>
          </w:tcPr>
          <w:p w14:paraId="7EA8C235">
            <w:pPr>
              <w:rPr>
                <w:rFonts w:hint="eastAsia" w:ascii="宋体" w:hAnsi="宋体" w:eastAsia="宋体" w:cs="宋体"/>
                <w:kern w:val="2"/>
                <w:sz w:val="21"/>
                <w:szCs w:val="22"/>
                <w:lang w:val="en-US" w:eastAsia="zh-CN" w:bidi="ar-SA"/>
              </w:rPr>
            </w:pPr>
            <w:r>
              <w:rPr>
                <w:rFonts w:hint="eastAsia" w:ascii="宋体" w:hAnsi="宋体" w:cs="宋体"/>
              </w:rPr>
              <w:t>我们在给付保险金、退还现金价值或返还保险费时，如果您有欠交的保险费或其它未还清款项，我们会在扣除上述欠款后给付。</w:t>
            </w:r>
          </w:p>
        </w:tc>
      </w:tr>
      <w:tr w14:paraId="0D1A9B60">
        <w:tblPrEx>
          <w:tblCellMar>
            <w:top w:w="0" w:type="dxa"/>
            <w:left w:w="108" w:type="dxa"/>
            <w:bottom w:w="0" w:type="dxa"/>
            <w:right w:w="108" w:type="dxa"/>
          </w:tblCellMar>
        </w:tblPrEx>
        <w:tc>
          <w:tcPr>
            <w:tcW w:w="552" w:type="pct"/>
          </w:tcPr>
          <w:p w14:paraId="5657B7ED">
            <w:pPr>
              <w:rPr>
                <w:rFonts w:ascii="宋体" w:hAnsi="宋体" w:cs="宋体"/>
                <w:b/>
                <w:bCs/>
                <w:color w:val="000000" w:themeColor="text1"/>
                <w14:textFill>
                  <w14:solidFill>
                    <w14:schemeClr w14:val="tx1"/>
                  </w14:solidFill>
                </w14:textFill>
              </w:rPr>
            </w:pPr>
          </w:p>
        </w:tc>
        <w:tc>
          <w:tcPr>
            <w:tcW w:w="962" w:type="pct"/>
          </w:tcPr>
          <w:p w14:paraId="259857ED">
            <w:pPr>
              <w:rPr>
                <w:rFonts w:ascii="宋体" w:hAnsi="宋体" w:cs="宋体"/>
                <w:b/>
                <w:bCs/>
                <w:color w:val="000000" w:themeColor="text1"/>
                <w14:textFill>
                  <w14:solidFill>
                    <w14:schemeClr w14:val="tx1"/>
                  </w14:solidFill>
                </w14:textFill>
              </w:rPr>
            </w:pPr>
          </w:p>
        </w:tc>
        <w:tc>
          <w:tcPr>
            <w:tcW w:w="3484" w:type="pct"/>
          </w:tcPr>
          <w:p w14:paraId="6071E993">
            <w:pPr>
              <w:rPr>
                <w:rFonts w:ascii="宋体" w:hAnsi="宋体" w:cs="宋体"/>
                <w:color w:val="000000" w:themeColor="text1"/>
                <w14:textFill>
                  <w14:solidFill>
                    <w14:schemeClr w14:val="tx1"/>
                  </w14:solidFill>
                </w14:textFill>
              </w:rPr>
            </w:pPr>
          </w:p>
        </w:tc>
      </w:tr>
      <w:tr w14:paraId="36497818">
        <w:tblPrEx>
          <w:tblCellMar>
            <w:top w:w="0" w:type="dxa"/>
            <w:left w:w="108" w:type="dxa"/>
            <w:bottom w:w="0" w:type="dxa"/>
            <w:right w:w="108" w:type="dxa"/>
          </w:tblCellMar>
        </w:tblPrEx>
        <w:tc>
          <w:tcPr>
            <w:tcW w:w="552" w:type="pct"/>
          </w:tcPr>
          <w:p w14:paraId="50C765BA">
            <w:pPr>
              <w:jc w:val="center"/>
              <w:rPr>
                <w:rFonts w:hint="eastAsia" w:ascii="宋体" w:eastAsia="宋体"/>
                <w:b/>
                <w:color w:val="000000" w:themeColor="text1"/>
                <w:lang w:eastAsia="zh-CN"/>
                <w14:textFill>
                  <w14:solidFill>
                    <w14:schemeClr w14:val="tx1"/>
                  </w14:solidFill>
                </w14:textFill>
              </w:rPr>
            </w:pPr>
            <w:r>
              <w:rPr>
                <w:rFonts w:hint="eastAsia" w:ascii="宋体" w:cs="宋体"/>
                <w:b/>
                <w:bCs/>
                <w:lang w:val="en-US" w:eastAsia="zh-CN"/>
              </w:rPr>
              <w:t>7</w:t>
            </w:r>
            <w:r>
              <w:rPr>
                <w:rFonts w:ascii="宋体" w:cs="宋体"/>
                <w:b/>
                <w:bCs/>
              </w:rPr>
              <w:t>.</w:t>
            </w:r>
            <w:r>
              <w:rPr>
                <w:rFonts w:hint="eastAsia" w:ascii="宋体" w:cs="宋体"/>
                <w:b/>
                <w:bCs/>
                <w:lang w:val="en-US" w:eastAsia="zh-CN"/>
              </w:rPr>
              <w:t>6</w:t>
            </w:r>
          </w:p>
        </w:tc>
        <w:tc>
          <w:tcPr>
            <w:tcW w:w="962" w:type="pct"/>
          </w:tcPr>
          <w:p w14:paraId="0C965EB9">
            <w:pPr>
              <w:rPr>
                <w:rFonts w:ascii="宋体"/>
                <w:color w:val="000000" w:themeColor="text1"/>
                <w14:textFill>
                  <w14:solidFill>
                    <w14:schemeClr w14:val="tx1"/>
                  </w14:solidFill>
                </w14:textFill>
              </w:rPr>
            </w:pPr>
            <w:r>
              <w:rPr>
                <w:rFonts w:hint="eastAsia" w:ascii="宋体" w:hAnsi="宋体" w:cs="宋体"/>
                <w:b/>
                <w:bCs/>
              </w:rPr>
              <w:t>合同内容变更</w:t>
            </w:r>
          </w:p>
        </w:tc>
        <w:tc>
          <w:tcPr>
            <w:tcW w:w="3484" w:type="pct"/>
          </w:tcPr>
          <w:p w14:paraId="7FBCA3FD">
            <w:pPr>
              <w:rPr>
                <w:rFonts w:ascii="宋体" w:hAnsi="宋体" w:cs="宋体"/>
              </w:rPr>
            </w:pPr>
            <w:r>
              <w:rPr>
                <w:rFonts w:hint="eastAsia" w:ascii="宋体" w:hAnsi="宋体" w:cs="宋体"/>
              </w:rPr>
              <w:t>在本主险合同有效期内，经您与我们协商一致，可以变更本主险合同的有关内容。变更本主险合同的，应当由我们在保险单或者其他保险凭证上批注或者附贴批单，或者由您与我们订立书面的变更协议。</w:t>
            </w:r>
          </w:p>
          <w:p w14:paraId="02EC1760">
            <w:pPr>
              <w:rPr>
                <w:rFonts w:ascii="宋体"/>
                <w:color w:val="000000" w:themeColor="text1"/>
                <w14:textFill>
                  <w14:solidFill>
                    <w14:schemeClr w14:val="tx1"/>
                  </w14:solidFill>
                </w14:textFill>
              </w:rPr>
            </w:pPr>
            <w:r>
              <w:rPr>
                <w:rFonts w:hint="eastAsia" w:ascii="宋体"/>
              </w:rPr>
              <w:t>您通过我们同意或认可的网站等</w:t>
            </w:r>
            <w:r>
              <w:rPr>
                <w:rFonts w:hint="eastAsia" w:ascii="宋体" w:cs="宋体"/>
                <w:kern w:val="0"/>
              </w:rPr>
              <w:t>互联网渠道提出对本主险合同进行变更，视为您的书面申请，您向我们在线提交的电子信息与您向我们提交的书面文件具有相同的法律效力。</w:t>
            </w:r>
          </w:p>
        </w:tc>
      </w:tr>
      <w:tr w14:paraId="5A21C2D1">
        <w:tblPrEx>
          <w:tblCellMar>
            <w:top w:w="0" w:type="dxa"/>
            <w:left w:w="108" w:type="dxa"/>
            <w:bottom w:w="0" w:type="dxa"/>
            <w:right w:w="108" w:type="dxa"/>
          </w:tblCellMar>
        </w:tblPrEx>
        <w:tc>
          <w:tcPr>
            <w:tcW w:w="552" w:type="pct"/>
          </w:tcPr>
          <w:p w14:paraId="3B910FBB">
            <w:pPr>
              <w:rPr>
                <w:rFonts w:ascii="宋体"/>
                <w:color w:val="000000" w:themeColor="text1"/>
                <w14:textFill>
                  <w14:solidFill>
                    <w14:schemeClr w14:val="tx1"/>
                  </w14:solidFill>
                </w14:textFill>
              </w:rPr>
            </w:pPr>
          </w:p>
        </w:tc>
        <w:tc>
          <w:tcPr>
            <w:tcW w:w="962" w:type="pct"/>
          </w:tcPr>
          <w:p w14:paraId="47154FB3">
            <w:pPr>
              <w:rPr>
                <w:rFonts w:ascii="宋体"/>
                <w:color w:val="000000" w:themeColor="text1"/>
                <w14:textFill>
                  <w14:solidFill>
                    <w14:schemeClr w14:val="tx1"/>
                  </w14:solidFill>
                </w14:textFill>
              </w:rPr>
            </w:pPr>
          </w:p>
        </w:tc>
        <w:tc>
          <w:tcPr>
            <w:tcW w:w="3484" w:type="pct"/>
          </w:tcPr>
          <w:p w14:paraId="179F6CE8">
            <w:pPr>
              <w:rPr>
                <w:rFonts w:ascii="宋体"/>
                <w:color w:val="000000" w:themeColor="text1"/>
                <w14:textFill>
                  <w14:solidFill>
                    <w14:schemeClr w14:val="tx1"/>
                  </w14:solidFill>
                </w14:textFill>
              </w:rPr>
            </w:pPr>
          </w:p>
        </w:tc>
      </w:tr>
      <w:tr w14:paraId="02B43754">
        <w:tblPrEx>
          <w:tblCellMar>
            <w:top w:w="0" w:type="dxa"/>
            <w:left w:w="108" w:type="dxa"/>
            <w:bottom w:w="0" w:type="dxa"/>
            <w:right w:w="108" w:type="dxa"/>
          </w:tblCellMar>
        </w:tblPrEx>
        <w:tc>
          <w:tcPr>
            <w:tcW w:w="552" w:type="pct"/>
          </w:tcPr>
          <w:p w14:paraId="5C3BB127">
            <w:pPr>
              <w:jc w:val="center"/>
              <w:rPr>
                <w:rFonts w:hint="eastAsia" w:ascii="宋体" w:hAnsi="宋体" w:eastAsia="宋体"/>
                <w:b/>
                <w:color w:val="000000" w:themeColor="text1"/>
                <w:szCs w:val="24"/>
                <w:lang w:eastAsia="zh-CN"/>
                <w14:textFill>
                  <w14:solidFill>
                    <w14:schemeClr w14:val="tx1"/>
                  </w14:solidFill>
                </w14:textFill>
              </w:rPr>
            </w:pPr>
            <w:r>
              <w:rPr>
                <w:rFonts w:hint="eastAsia" w:ascii="宋体" w:cs="宋体"/>
                <w:b/>
                <w:bCs/>
                <w:lang w:val="en-US" w:eastAsia="zh-CN"/>
              </w:rPr>
              <w:t>7</w:t>
            </w:r>
            <w:r>
              <w:rPr>
                <w:rFonts w:ascii="宋体" w:cs="宋体"/>
                <w:b/>
                <w:bCs/>
              </w:rPr>
              <w:t>.</w:t>
            </w:r>
            <w:r>
              <w:rPr>
                <w:rFonts w:hint="eastAsia" w:ascii="宋体" w:cs="宋体"/>
                <w:b/>
                <w:bCs/>
                <w:lang w:val="en-US" w:eastAsia="zh-CN"/>
              </w:rPr>
              <w:t>7</w:t>
            </w:r>
          </w:p>
        </w:tc>
        <w:tc>
          <w:tcPr>
            <w:tcW w:w="962" w:type="pct"/>
          </w:tcPr>
          <w:p w14:paraId="79080E37">
            <w:pPr>
              <w:rPr>
                <w:rFonts w:ascii="宋体" w:hAnsi="宋体"/>
                <w:color w:val="000000" w:themeColor="text1"/>
                <w:szCs w:val="24"/>
                <w14:textFill>
                  <w14:solidFill>
                    <w14:schemeClr w14:val="tx1"/>
                  </w14:solidFill>
                </w14:textFill>
              </w:rPr>
            </w:pPr>
            <w:r>
              <w:rPr>
                <w:rFonts w:hint="eastAsia" w:ascii="宋体" w:hAnsi="宋体" w:cs="宋体"/>
                <w:b/>
                <w:bCs/>
              </w:rPr>
              <w:t>联系方式变更</w:t>
            </w:r>
          </w:p>
        </w:tc>
        <w:tc>
          <w:tcPr>
            <w:tcW w:w="3484" w:type="pct"/>
            <w:shd w:val="clear" w:color="auto" w:fill="auto"/>
          </w:tcPr>
          <w:p w14:paraId="45164725">
            <w:pPr>
              <w:rPr>
                <w:rFonts w:ascii="宋体" w:hAnsi="宋体"/>
                <w:color w:val="000000" w:themeColor="text1"/>
                <w:szCs w:val="24"/>
                <w14:textFill>
                  <w14:solidFill>
                    <w14:schemeClr w14:val="tx1"/>
                  </w14:solidFill>
                </w14:textFill>
              </w:rPr>
            </w:pPr>
            <w:r>
              <w:rPr>
                <w:rFonts w:hint="eastAsia" w:ascii="宋体" w:hAnsi="宋体" w:cs="宋体"/>
              </w:rPr>
              <w:t>为了保障您的合法权益，您的住所、通讯地址、电话或电子邮箱等联系方式变更时，请及时以书面形式或双方认可的其他形式通知我们。若您未以书面形式或双方认可的其他形式通知我们，我们按本主险合同载明的最后住所、通讯地址、电话或电子邮箱等联系方式所发送的有关通知，均视为已送达给您。</w:t>
            </w:r>
          </w:p>
        </w:tc>
      </w:tr>
      <w:tr w14:paraId="345E3E76">
        <w:tblPrEx>
          <w:tblCellMar>
            <w:top w:w="0" w:type="dxa"/>
            <w:left w:w="108" w:type="dxa"/>
            <w:bottom w:w="0" w:type="dxa"/>
            <w:right w:w="108" w:type="dxa"/>
          </w:tblCellMar>
        </w:tblPrEx>
        <w:tc>
          <w:tcPr>
            <w:tcW w:w="552" w:type="pct"/>
          </w:tcPr>
          <w:p w14:paraId="56BB3FAC">
            <w:pPr>
              <w:jc w:val="center"/>
              <w:rPr>
                <w:rFonts w:ascii="宋体" w:hAnsi="宋体"/>
                <w:b/>
                <w:color w:val="000000" w:themeColor="text1"/>
                <w:szCs w:val="24"/>
                <w14:textFill>
                  <w14:solidFill>
                    <w14:schemeClr w14:val="tx1"/>
                  </w14:solidFill>
                </w14:textFill>
              </w:rPr>
            </w:pPr>
          </w:p>
        </w:tc>
        <w:tc>
          <w:tcPr>
            <w:tcW w:w="962" w:type="pct"/>
          </w:tcPr>
          <w:p w14:paraId="68867F21">
            <w:pPr>
              <w:rPr>
                <w:rFonts w:ascii="宋体" w:hAnsi="宋体"/>
                <w:color w:val="000000" w:themeColor="text1"/>
                <w:szCs w:val="24"/>
                <w14:textFill>
                  <w14:solidFill>
                    <w14:schemeClr w14:val="tx1"/>
                  </w14:solidFill>
                </w14:textFill>
              </w:rPr>
            </w:pPr>
          </w:p>
        </w:tc>
        <w:tc>
          <w:tcPr>
            <w:tcW w:w="3484" w:type="pct"/>
          </w:tcPr>
          <w:p w14:paraId="0AC7F713">
            <w:pPr>
              <w:rPr>
                <w:rFonts w:ascii="宋体" w:hAnsi="宋体"/>
                <w:color w:val="000000" w:themeColor="text1"/>
                <w:szCs w:val="24"/>
                <w14:textFill>
                  <w14:solidFill>
                    <w14:schemeClr w14:val="tx1"/>
                  </w14:solidFill>
                </w14:textFill>
              </w:rPr>
            </w:pPr>
          </w:p>
        </w:tc>
      </w:tr>
      <w:tr w14:paraId="1635E5B8">
        <w:tblPrEx>
          <w:tblCellMar>
            <w:top w:w="0" w:type="dxa"/>
            <w:left w:w="108" w:type="dxa"/>
            <w:bottom w:w="0" w:type="dxa"/>
            <w:right w:w="108" w:type="dxa"/>
          </w:tblCellMar>
        </w:tblPrEx>
        <w:tc>
          <w:tcPr>
            <w:tcW w:w="552" w:type="pct"/>
          </w:tcPr>
          <w:p w14:paraId="1E8F154D">
            <w:pPr>
              <w:jc w:val="center"/>
              <w:rPr>
                <w:rFonts w:hint="eastAsia" w:ascii="宋体" w:hAnsi="宋体" w:eastAsia="宋体"/>
                <w:b/>
                <w:color w:val="000000" w:themeColor="text1"/>
                <w:szCs w:val="24"/>
                <w:lang w:eastAsia="zh-CN"/>
                <w14:textFill>
                  <w14:solidFill>
                    <w14:schemeClr w14:val="tx1"/>
                  </w14:solidFill>
                </w14:textFill>
              </w:rPr>
            </w:pPr>
            <w:r>
              <w:rPr>
                <w:rFonts w:hint="eastAsia" w:ascii="宋体" w:cs="宋体"/>
                <w:b/>
                <w:bCs/>
                <w:lang w:val="en-US" w:eastAsia="zh-CN"/>
              </w:rPr>
              <w:t>7</w:t>
            </w:r>
            <w:r>
              <w:rPr>
                <w:rFonts w:ascii="宋体" w:cs="宋体"/>
                <w:b/>
                <w:bCs/>
              </w:rPr>
              <w:t>.</w:t>
            </w:r>
            <w:r>
              <w:rPr>
                <w:rFonts w:hint="eastAsia" w:ascii="宋体" w:cs="宋体"/>
                <w:b/>
                <w:bCs/>
                <w:lang w:val="en-US" w:eastAsia="zh-CN"/>
              </w:rPr>
              <w:t>8</w:t>
            </w:r>
          </w:p>
        </w:tc>
        <w:tc>
          <w:tcPr>
            <w:tcW w:w="962" w:type="pct"/>
          </w:tcPr>
          <w:p w14:paraId="7230FC0B">
            <w:pPr>
              <w:rPr>
                <w:rFonts w:ascii="宋体" w:hAnsi="宋体"/>
                <w:color w:val="000000" w:themeColor="text1"/>
                <w:szCs w:val="24"/>
                <w14:textFill>
                  <w14:solidFill>
                    <w14:schemeClr w14:val="tx1"/>
                  </w14:solidFill>
                </w14:textFill>
              </w:rPr>
            </w:pPr>
            <w:r>
              <w:rPr>
                <w:rFonts w:hint="eastAsia" w:ascii="宋体" w:hAnsi="宋体" w:cs="宋体"/>
                <w:b/>
                <w:bCs/>
              </w:rPr>
              <w:t>效力终止</w:t>
            </w:r>
          </w:p>
        </w:tc>
        <w:tc>
          <w:tcPr>
            <w:tcW w:w="3484" w:type="pct"/>
          </w:tcPr>
          <w:p w14:paraId="5C42205D">
            <w:pPr>
              <w:rPr>
                <w:rFonts w:ascii="宋体"/>
              </w:rPr>
            </w:pPr>
            <w:r>
              <w:rPr>
                <w:rFonts w:hint="eastAsia" w:ascii="宋体" w:hAnsi="宋体" w:cs="宋体"/>
              </w:rPr>
              <w:t>当发生下列情形之一时，本主险合同效力终止：</w:t>
            </w:r>
          </w:p>
          <w:p w14:paraId="6FE07F0D">
            <w:pPr>
              <w:rPr>
                <w:rFonts w:ascii="宋体" w:hAnsi="宋体" w:cs="宋体"/>
              </w:rPr>
            </w:pPr>
            <w:r>
              <w:rPr>
                <w:rFonts w:hint="eastAsia" w:ascii="宋体" w:hAnsi="宋体" w:cs="宋体"/>
              </w:rPr>
              <w:t>（1）被保险人身故；</w:t>
            </w:r>
          </w:p>
          <w:p w14:paraId="7C0CE83A">
            <w:pPr>
              <w:rPr>
                <w:rFonts w:ascii="宋体" w:hAnsi="宋体"/>
                <w:szCs w:val="24"/>
              </w:rPr>
            </w:pPr>
            <w:r>
              <w:rPr>
                <w:rFonts w:hint="eastAsia" w:ascii="宋体"/>
              </w:rPr>
              <w:t>（2）</w:t>
            </w:r>
            <w:r>
              <w:rPr>
                <w:rFonts w:hint="eastAsia" w:ascii="宋体" w:hAnsi="宋体" w:cs="宋体"/>
              </w:rPr>
              <w:t>本主险合同中列明的其他合同解除或终止的情形。</w:t>
            </w:r>
          </w:p>
        </w:tc>
      </w:tr>
      <w:tr w14:paraId="1A0D07F2">
        <w:tblPrEx>
          <w:tblCellMar>
            <w:top w:w="0" w:type="dxa"/>
            <w:left w:w="108" w:type="dxa"/>
            <w:bottom w:w="0" w:type="dxa"/>
            <w:right w:w="108" w:type="dxa"/>
          </w:tblCellMar>
        </w:tblPrEx>
        <w:tc>
          <w:tcPr>
            <w:tcW w:w="552" w:type="pct"/>
          </w:tcPr>
          <w:p w14:paraId="2CBA8602">
            <w:pPr>
              <w:jc w:val="center"/>
              <w:rPr>
                <w:rFonts w:ascii="宋体" w:cs="宋体"/>
                <w:b/>
                <w:bCs/>
              </w:rPr>
            </w:pPr>
          </w:p>
        </w:tc>
        <w:tc>
          <w:tcPr>
            <w:tcW w:w="962" w:type="pct"/>
          </w:tcPr>
          <w:p w14:paraId="0AB3BD1E">
            <w:pPr>
              <w:rPr>
                <w:rFonts w:ascii="宋体" w:hAnsi="宋体" w:cs="宋体"/>
                <w:b/>
                <w:bCs/>
              </w:rPr>
            </w:pPr>
          </w:p>
        </w:tc>
        <w:tc>
          <w:tcPr>
            <w:tcW w:w="3484" w:type="pct"/>
          </w:tcPr>
          <w:p w14:paraId="2C6AD8D4">
            <w:pPr>
              <w:rPr>
                <w:rFonts w:ascii="宋体" w:hAnsi="宋体" w:cs="宋体"/>
              </w:rPr>
            </w:pPr>
          </w:p>
        </w:tc>
      </w:tr>
      <w:tr w14:paraId="530EB590">
        <w:tblPrEx>
          <w:tblCellMar>
            <w:top w:w="0" w:type="dxa"/>
            <w:left w:w="108" w:type="dxa"/>
            <w:bottom w:w="0" w:type="dxa"/>
            <w:right w:w="108" w:type="dxa"/>
          </w:tblCellMar>
        </w:tblPrEx>
        <w:tc>
          <w:tcPr>
            <w:tcW w:w="552" w:type="pct"/>
          </w:tcPr>
          <w:p w14:paraId="00F69AF8">
            <w:pPr>
              <w:jc w:val="center"/>
              <w:rPr>
                <w:rFonts w:hint="eastAsia" w:ascii="宋体" w:eastAsia="宋体" w:cs="宋体"/>
                <w:b/>
                <w:bCs/>
                <w:lang w:eastAsia="zh-CN"/>
              </w:rPr>
            </w:pPr>
            <w:r>
              <w:rPr>
                <w:rFonts w:hint="eastAsia" w:ascii="宋体" w:cs="宋体"/>
                <w:b/>
                <w:bCs/>
                <w:lang w:val="en-US" w:eastAsia="zh-CN"/>
              </w:rPr>
              <w:t>7</w:t>
            </w:r>
            <w:r>
              <w:rPr>
                <w:rFonts w:hint="eastAsia" w:ascii="宋体" w:cs="宋体"/>
                <w:b/>
                <w:bCs/>
              </w:rPr>
              <w:t>.</w:t>
            </w:r>
            <w:r>
              <w:rPr>
                <w:rFonts w:hint="eastAsia" w:ascii="宋体" w:cs="宋体"/>
                <w:b/>
                <w:bCs/>
                <w:lang w:val="en-US" w:eastAsia="zh-CN"/>
              </w:rPr>
              <w:t>9</w:t>
            </w:r>
          </w:p>
        </w:tc>
        <w:tc>
          <w:tcPr>
            <w:tcW w:w="962" w:type="pct"/>
          </w:tcPr>
          <w:p w14:paraId="0FA3DD96">
            <w:pPr>
              <w:rPr>
                <w:rFonts w:ascii="宋体" w:hAnsi="宋体" w:cs="宋体"/>
                <w:b/>
                <w:bCs/>
              </w:rPr>
            </w:pPr>
            <w:r>
              <w:rPr>
                <w:rFonts w:hint="eastAsia" w:ascii="宋体" w:hAnsi="宋体" w:cs="宋体"/>
                <w:b/>
                <w:bCs/>
              </w:rPr>
              <w:t>争议处理</w:t>
            </w:r>
          </w:p>
        </w:tc>
        <w:tc>
          <w:tcPr>
            <w:tcW w:w="3484" w:type="pct"/>
          </w:tcPr>
          <w:p w14:paraId="1C786D88">
            <w:pPr>
              <w:rPr>
                <w:rFonts w:ascii="宋体" w:hAnsi="宋体" w:cs="宋体"/>
              </w:rPr>
            </w:pPr>
            <w:r>
              <w:rPr>
                <w:rFonts w:hint="eastAsia" w:ascii="宋体" w:hAnsi="宋体" w:cs="宋体"/>
              </w:rPr>
              <w:t>本主险合同履行过程中，双方发生争议不能协商解决的，可以达成仲裁协议通过仲裁解决，也可依法直接向法院提起诉讼。</w:t>
            </w:r>
          </w:p>
        </w:tc>
      </w:tr>
      <w:tr w14:paraId="130FA27A">
        <w:tblPrEx>
          <w:tblCellMar>
            <w:top w:w="0" w:type="dxa"/>
            <w:left w:w="108" w:type="dxa"/>
            <w:bottom w:w="0" w:type="dxa"/>
            <w:right w:w="108" w:type="dxa"/>
          </w:tblCellMar>
        </w:tblPrEx>
        <w:tc>
          <w:tcPr>
            <w:tcW w:w="552" w:type="pct"/>
          </w:tcPr>
          <w:p w14:paraId="76582B84">
            <w:pPr>
              <w:jc w:val="center"/>
              <w:rPr>
                <w:rFonts w:ascii="宋体" w:hAnsi="宋体"/>
                <w:b/>
                <w:color w:val="000000" w:themeColor="text1"/>
                <w:szCs w:val="24"/>
                <w14:textFill>
                  <w14:solidFill>
                    <w14:schemeClr w14:val="tx1"/>
                  </w14:solidFill>
                </w14:textFill>
              </w:rPr>
            </w:pPr>
          </w:p>
        </w:tc>
        <w:tc>
          <w:tcPr>
            <w:tcW w:w="962" w:type="pct"/>
          </w:tcPr>
          <w:p w14:paraId="2F8A5327">
            <w:pPr>
              <w:rPr>
                <w:rFonts w:ascii="宋体" w:hAnsi="宋体"/>
                <w:color w:val="000000" w:themeColor="text1"/>
                <w:szCs w:val="24"/>
                <w14:textFill>
                  <w14:solidFill>
                    <w14:schemeClr w14:val="tx1"/>
                  </w14:solidFill>
                </w14:textFill>
              </w:rPr>
            </w:pPr>
          </w:p>
        </w:tc>
        <w:tc>
          <w:tcPr>
            <w:tcW w:w="3484" w:type="pct"/>
          </w:tcPr>
          <w:p w14:paraId="68A4BDBB">
            <w:pPr>
              <w:rPr>
                <w:rFonts w:ascii="宋体" w:hAnsi="宋体"/>
                <w:color w:val="000000" w:themeColor="text1"/>
                <w:szCs w:val="24"/>
                <w14:textFill>
                  <w14:solidFill>
                    <w14:schemeClr w14:val="tx1"/>
                  </w14:solidFill>
                </w14:textFill>
              </w:rPr>
            </w:pPr>
          </w:p>
        </w:tc>
      </w:tr>
    </w:tbl>
    <w:p w14:paraId="59D8D93E">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14:paraId="6F12FED4">
      <w:pPr>
        <w:widowControl/>
        <w:jc w:val="left"/>
        <w:rPr>
          <w:shd w:val="pct10" w:color="auto" w:fill="FFFFFF"/>
        </w:rPr>
      </w:pPr>
      <w:r>
        <w:rPr>
          <w:rFonts w:hint="eastAsia" w:asciiTheme="minorEastAsia" w:hAnsiTheme="minorEastAsia" w:eastAsiaTheme="minorEastAsia"/>
          <w:b/>
          <w:sz w:val="28"/>
          <w:szCs w:val="28"/>
        </w:rPr>
        <w:t>附表1：</w:t>
      </w:r>
    </w:p>
    <w:p w14:paraId="46C70D04">
      <w:pPr>
        <w:widowControl/>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平安互联网康佑1.0特定疾病保险T款</w:t>
      </w:r>
      <w:r>
        <w:rPr>
          <w:rFonts w:hint="eastAsia" w:asciiTheme="minorEastAsia" w:hAnsiTheme="minorEastAsia" w:eastAsiaTheme="minorEastAsia"/>
          <w:b/>
          <w:sz w:val="28"/>
          <w:szCs w:val="28"/>
          <w:lang w:val="en-US" w:eastAsia="zh-CN"/>
        </w:rPr>
        <w:t>特定</w:t>
      </w:r>
      <w:r>
        <w:rPr>
          <w:rFonts w:hint="eastAsia" w:asciiTheme="minorEastAsia" w:hAnsiTheme="minorEastAsia" w:eastAsiaTheme="minorEastAsia"/>
          <w:b/>
          <w:sz w:val="28"/>
          <w:szCs w:val="28"/>
        </w:rPr>
        <w:t>疾病清单</w:t>
      </w:r>
    </w:p>
    <w:p w14:paraId="5D4B31FC">
      <w:pPr>
        <w:ind w:firstLine="420" w:firstLineChars="200"/>
        <w:rPr>
          <w:rFonts w:ascii="宋体" w:cs="宋体"/>
          <w:kern w:val="0"/>
          <w:szCs w:val="21"/>
        </w:rPr>
      </w:pPr>
      <w:r>
        <w:rPr>
          <w:rFonts w:hint="eastAsia" w:ascii="宋体" w:cs="宋体"/>
          <w:kern w:val="0"/>
          <w:szCs w:val="21"/>
        </w:rPr>
        <w:t>指被保险人初次发生符合下列定义的</w:t>
      </w:r>
      <w:r>
        <w:rPr>
          <w:rFonts w:hint="eastAsia" w:ascii="宋体" w:cs="宋体"/>
          <w:kern w:val="0"/>
          <w:szCs w:val="21"/>
          <w:lang w:val="en-US" w:eastAsia="zh-CN"/>
        </w:rPr>
        <w:t>特定</w:t>
      </w:r>
      <w:r>
        <w:rPr>
          <w:rFonts w:hint="eastAsia" w:ascii="宋体" w:cs="宋体"/>
          <w:kern w:val="0"/>
          <w:szCs w:val="21"/>
        </w:rPr>
        <w:t>疾病，或初次接受符合下列定义的手术。该疾病或手术应当由专科医生明确诊断。本主险合同所定义的</w:t>
      </w:r>
      <w:r>
        <w:rPr>
          <w:rFonts w:hint="eastAsia" w:ascii="宋体" w:cs="宋体"/>
          <w:kern w:val="0"/>
          <w:szCs w:val="21"/>
          <w:lang w:val="en-US" w:eastAsia="zh-CN"/>
        </w:rPr>
        <w:t>特定</w:t>
      </w:r>
      <w:r>
        <w:rPr>
          <w:rFonts w:hint="eastAsia" w:ascii="宋体" w:cs="宋体"/>
          <w:kern w:val="0"/>
          <w:szCs w:val="21"/>
        </w:rPr>
        <w:t>疾病共有1</w:t>
      </w:r>
      <w:r>
        <w:rPr>
          <w:rFonts w:ascii="宋体" w:cs="宋体"/>
          <w:kern w:val="0"/>
          <w:szCs w:val="21"/>
        </w:rPr>
        <w:t>0</w:t>
      </w:r>
      <w:r>
        <w:rPr>
          <w:rFonts w:hint="eastAsia" w:ascii="宋体" w:cs="宋体"/>
          <w:kern w:val="0"/>
          <w:szCs w:val="21"/>
        </w:rPr>
        <w:t>种，</w:t>
      </w:r>
      <w:r>
        <w:rPr>
          <w:rFonts w:hint="eastAsia" w:ascii="宋体" w:cs="宋体"/>
          <w:kern w:val="0"/>
          <w:szCs w:val="21"/>
          <w:lang w:val="en-US" w:eastAsia="zh-CN"/>
        </w:rPr>
        <w:t>均</w:t>
      </w:r>
      <w:r>
        <w:rPr>
          <w:rFonts w:hint="eastAsia" w:ascii="宋体" w:cs="宋体"/>
          <w:kern w:val="0"/>
          <w:szCs w:val="21"/>
        </w:rPr>
        <w:t>为中国保险行业协会、中国医师协会联合颁布的《重大疾病保险的疾病定义使用规范</w:t>
      </w:r>
      <w:r>
        <w:rPr>
          <w:rFonts w:ascii="宋体" w:cs="宋体"/>
          <w:kern w:val="0"/>
          <w:szCs w:val="21"/>
        </w:rPr>
        <w:t>（2020年修订版）</w:t>
      </w:r>
      <w:r>
        <w:rPr>
          <w:rFonts w:hint="eastAsia" w:ascii="宋体" w:cs="宋体"/>
          <w:kern w:val="0"/>
          <w:szCs w:val="21"/>
        </w:rPr>
        <w:t>》（以下简称“规范”）规定的疾病，且疾病名称和疾病定义与“规范”一致。</w:t>
      </w:r>
    </w:p>
    <w:tbl>
      <w:tblPr>
        <w:tblStyle w:val="15"/>
        <w:tblW w:w="5000" w:type="pct"/>
        <w:tblInd w:w="0" w:type="dxa"/>
        <w:tblLayout w:type="fixed"/>
        <w:tblCellMar>
          <w:top w:w="0" w:type="dxa"/>
          <w:left w:w="108" w:type="dxa"/>
          <w:bottom w:w="0" w:type="dxa"/>
          <w:right w:w="108" w:type="dxa"/>
        </w:tblCellMar>
      </w:tblPr>
      <w:tblGrid>
        <w:gridCol w:w="978"/>
        <w:gridCol w:w="1927"/>
        <w:gridCol w:w="7175"/>
      </w:tblGrid>
      <w:tr w14:paraId="76BEC5EE">
        <w:tblPrEx>
          <w:tblCellMar>
            <w:top w:w="0" w:type="dxa"/>
            <w:left w:w="108" w:type="dxa"/>
            <w:bottom w:w="0" w:type="dxa"/>
            <w:right w:w="108" w:type="dxa"/>
          </w:tblCellMar>
        </w:tblPrEx>
        <w:tc>
          <w:tcPr>
            <w:tcW w:w="485" w:type="pct"/>
          </w:tcPr>
          <w:p w14:paraId="39FD393F">
            <w:pPr>
              <w:jc w:val="center"/>
              <w:rPr>
                <w:rFonts w:ascii="宋体" w:hAnsi="宋体" w:cs="宋体"/>
                <w:b/>
                <w:bCs/>
              </w:rPr>
            </w:pPr>
          </w:p>
        </w:tc>
        <w:tc>
          <w:tcPr>
            <w:tcW w:w="955" w:type="pct"/>
          </w:tcPr>
          <w:p w14:paraId="751221EB">
            <w:pPr>
              <w:rPr>
                <w:rFonts w:ascii="宋体" w:hAnsi="宋体" w:cs="宋体"/>
                <w:b/>
                <w:bCs/>
              </w:rPr>
            </w:pPr>
          </w:p>
        </w:tc>
        <w:tc>
          <w:tcPr>
            <w:tcW w:w="3559" w:type="pct"/>
          </w:tcPr>
          <w:p w14:paraId="7E8400FA">
            <w:pPr>
              <w:rPr>
                <w:rFonts w:ascii="宋体" w:hAnsi="宋体" w:cs="宋体"/>
              </w:rPr>
            </w:pPr>
          </w:p>
        </w:tc>
      </w:tr>
      <w:tr w14:paraId="2824A102">
        <w:tblPrEx>
          <w:tblCellMar>
            <w:top w:w="0" w:type="dxa"/>
            <w:left w:w="108" w:type="dxa"/>
            <w:bottom w:w="0" w:type="dxa"/>
            <w:right w:w="108" w:type="dxa"/>
          </w:tblCellMar>
        </w:tblPrEx>
        <w:tc>
          <w:tcPr>
            <w:tcW w:w="485" w:type="pct"/>
          </w:tcPr>
          <w:p w14:paraId="4EB1F313">
            <w:pPr>
              <w:autoSpaceDE w:val="0"/>
              <w:autoSpaceDN w:val="0"/>
              <w:adjustRightInd w:val="0"/>
              <w:jc w:val="left"/>
              <w:rPr>
                <w:rFonts w:ascii="宋体" w:cs="宋体"/>
                <w:kern w:val="0"/>
                <w:szCs w:val="21"/>
              </w:rPr>
            </w:pPr>
          </w:p>
        </w:tc>
        <w:tc>
          <w:tcPr>
            <w:tcW w:w="955" w:type="pct"/>
          </w:tcPr>
          <w:p w14:paraId="4323CED9">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1-</w:t>
            </w:r>
            <w:r>
              <w:rPr>
                <w:rFonts w:hint="eastAsia" w:ascii="华文新魏" w:hAnsi="宋体" w:eastAsia="华文新魏"/>
                <w:b/>
                <w:bCs/>
                <w:iCs/>
                <w:sz w:val="24"/>
                <w:szCs w:val="24"/>
                <w:lang w:val="en-US" w:eastAsia="zh-CN"/>
              </w:rPr>
              <w:t>严重脑中风后遗症</w:t>
            </w:r>
          </w:p>
        </w:tc>
        <w:tc>
          <w:tcPr>
            <w:tcW w:w="3559" w:type="pct"/>
          </w:tcPr>
          <w:p w14:paraId="53F55535">
            <w:pPr>
              <w:autoSpaceDE w:val="0"/>
              <w:autoSpaceDN w:val="0"/>
              <w:adjustRightInd w:val="0"/>
              <w:jc w:val="left"/>
              <w:rPr>
                <w:rFonts w:ascii="宋体" w:cs="宋体"/>
                <w:kern w:val="0"/>
                <w:szCs w:val="21"/>
              </w:rPr>
            </w:pPr>
            <w:r>
              <w:rPr>
                <w:rFonts w:ascii="宋体" w:cs="宋体"/>
                <w:kern w:val="0"/>
                <w:szCs w:val="21"/>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14:paraId="3ED27BD5">
            <w:pPr>
              <w:pageBreakBefore/>
              <w:autoSpaceDE w:val="0"/>
              <w:autoSpaceDN w:val="0"/>
              <w:adjustRightInd w:val="0"/>
              <w:jc w:val="left"/>
              <w:rPr>
                <w:rFonts w:ascii="宋体" w:cs="宋体"/>
                <w:kern w:val="0"/>
                <w:szCs w:val="21"/>
              </w:rPr>
            </w:pPr>
            <w:r>
              <w:rPr>
                <w:rFonts w:ascii="宋体" w:cs="宋体"/>
                <w:kern w:val="0"/>
                <w:szCs w:val="21"/>
              </w:rPr>
              <w:t>（1）一肢（含）以上</w:t>
            </w:r>
            <w:r>
              <w:rPr>
                <w:rFonts w:ascii="黑体" w:hAnsi="黑体" w:eastAsia="黑体" w:cs="宋体"/>
                <w:b/>
                <w:kern w:val="0"/>
                <w:szCs w:val="21"/>
              </w:rPr>
              <w:t>肢体</w:t>
            </w:r>
            <w:r>
              <w:rPr>
                <w:rStyle w:val="23"/>
                <w:rFonts w:ascii="黑体" w:hAnsi="黑体" w:eastAsia="黑体" w:cs="宋体"/>
                <w:b/>
                <w:kern w:val="0"/>
                <w:szCs w:val="21"/>
              </w:rPr>
              <w:footnoteReference w:id="35"/>
            </w:r>
            <w:r>
              <w:rPr>
                <w:rFonts w:ascii="黑体" w:hAnsi="黑体" w:eastAsia="黑体" w:cs="宋体"/>
                <w:b/>
                <w:kern w:val="0"/>
                <w:szCs w:val="21"/>
              </w:rPr>
              <w:t>肌力</w:t>
            </w:r>
            <w:r>
              <w:rPr>
                <w:rStyle w:val="23"/>
                <w:rFonts w:ascii="黑体" w:hAnsi="黑体" w:eastAsia="黑体" w:cs="宋体"/>
                <w:b/>
                <w:kern w:val="0"/>
                <w:szCs w:val="21"/>
              </w:rPr>
              <w:footnoteReference w:id="36"/>
            </w:r>
            <w:r>
              <w:rPr>
                <w:rFonts w:ascii="宋体" w:cs="宋体"/>
                <w:kern w:val="0"/>
                <w:szCs w:val="21"/>
              </w:rPr>
              <w:t>2级（含）以下；</w:t>
            </w:r>
          </w:p>
          <w:p w14:paraId="0A2C43EF">
            <w:pPr>
              <w:autoSpaceDE w:val="0"/>
              <w:autoSpaceDN w:val="0"/>
              <w:adjustRightInd w:val="0"/>
              <w:jc w:val="left"/>
              <w:rPr>
                <w:rFonts w:ascii="宋体" w:cs="宋体"/>
                <w:kern w:val="0"/>
                <w:szCs w:val="21"/>
              </w:rPr>
            </w:pPr>
            <w:r>
              <w:rPr>
                <w:rFonts w:ascii="宋体" w:cs="宋体"/>
                <w:kern w:val="0"/>
                <w:szCs w:val="21"/>
              </w:rPr>
              <w:t>（2）</w:t>
            </w:r>
            <w:r>
              <w:rPr>
                <w:rFonts w:ascii="黑体" w:hAnsi="黑体" w:eastAsia="黑体" w:cs="宋体"/>
                <w:b/>
                <w:kern w:val="0"/>
                <w:szCs w:val="21"/>
              </w:rPr>
              <w:t>语言能力完全丧失，或严重咀嚼吞咽功能障碍</w:t>
            </w:r>
            <w:r>
              <w:rPr>
                <w:rStyle w:val="23"/>
                <w:rFonts w:ascii="黑体" w:hAnsi="黑体" w:eastAsia="黑体" w:cs="宋体"/>
                <w:b/>
                <w:kern w:val="0"/>
                <w:szCs w:val="21"/>
              </w:rPr>
              <w:footnoteReference w:id="37"/>
            </w:r>
            <w:r>
              <w:rPr>
                <w:rFonts w:ascii="宋体" w:cs="宋体"/>
                <w:kern w:val="0"/>
                <w:szCs w:val="21"/>
              </w:rPr>
              <w:t>；</w:t>
            </w:r>
          </w:p>
          <w:p w14:paraId="41CBF753">
            <w:pPr>
              <w:autoSpaceDE w:val="0"/>
              <w:autoSpaceDN w:val="0"/>
              <w:adjustRightInd w:val="0"/>
              <w:jc w:val="left"/>
              <w:rPr>
                <w:rFonts w:hint="default" w:ascii="宋体" w:cs="宋体"/>
                <w:kern w:val="0"/>
                <w:szCs w:val="21"/>
                <w:lang w:val="en-US" w:eastAsia="zh-CN"/>
              </w:rPr>
            </w:pPr>
            <w:r>
              <w:rPr>
                <w:rFonts w:ascii="宋体" w:cs="宋体"/>
                <w:kern w:val="0"/>
                <w:szCs w:val="21"/>
              </w:rPr>
              <w:t>（3）自主生活能力完全丧失，无法独立完成</w:t>
            </w:r>
            <w:r>
              <w:rPr>
                <w:rFonts w:ascii="黑体" w:hAnsi="黑体" w:eastAsia="黑体" w:cs="宋体"/>
                <w:b/>
                <w:kern w:val="0"/>
                <w:szCs w:val="21"/>
              </w:rPr>
              <w:t>六项基本日常生活活动</w:t>
            </w:r>
            <w:r>
              <w:rPr>
                <w:rStyle w:val="23"/>
                <w:rFonts w:ascii="黑体" w:hAnsi="黑体" w:eastAsia="黑体" w:cs="宋体"/>
                <w:b/>
                <w:kern w:val="0"/>
                <w:szCs w:val="21"/>
              </w:rPr>
              <w:footnoteReference w:id="38"/>
            </w:r>
            <w:r>
              <w:rPr>
                <w:rFonts w:ascii="宋体" w:cs="宋体"/>
                <w:kern w:val="0"/>
                <w:szCs w:val="21"/>
              </w:rPr>
              <w:t>中的三项或三项以上。</w:t>
            </w:r>
          </w:p>
        </w:tc>
      </w:tr>
      <w:tr w14:paraId="25F1B842">
        <w:tblPrEx>
          <w:tblCellMar>
            <w:top w:w="0" w:type="dxa"/>
            <w:left w:w="108" w:type="dxa"/>
            <w:bottom w:w="0" w:type="dxa"/>
            <w:right w:w="108" w:type="dxa"/>
          </w:tblCellMar>
        </w:tblPrEx>
        <w:tc>
          <w:tcPr>
            <w:tcW w:w="485" w:type="pct"/>
          </w:tcPr>
          <w:p w14:paraId="5363E81E">
            <w:pPr>
              <w:autoSpaceDE w:val="0"/>
              <w:autoSpaceDN w:val="0"/>
              <w:adjustRightInd w:val="0"/>
              <w:jc w:val="left"/>
              <w:rPr>
                <w:rFonts w:ascii="宋体" w:cs="宋体"/>
                <w:kern w:val="0"/>
                <w:szCs w:val="21"/>
              </w:rPr>
            </w:pPr>
          </w:p>
        </w:tc>
        <w:tc>
          <w:tcPr>
            <w:tcW w:w="955" w:type="pct"/>
          </w:tcPr>
          <w:p w14:paraId="4543B4B4">
            <w:pPr>
              <w:spacing w:line="320" w:lineRule="exact"/>
              <w:jc w:val="left"/>
              <w:rPr>
                <w:rFonts w:hint="eastAsia" w:ascii="华文新魏" w:hAnsi="宋体" w:eastAsia="华文新魏"/>
                <w:b/>
                <w:bCs/>
                <w:iCs/>
                <w:sz w:val="24"/>
                <w:szCs w:val="24"/>
              </w:rPr>
            </w:pPr>
          </w:p>
        </w:tc>
        <w:tc>
          <w:tcPr>
            <w:tcW w:w="3559" w:type="pct"/>
          </w:tcPr>
          <w:p w14:paraId="36020986">
            <w:pPr>
              <w:autoSpaceDE w:val="0"/>
              <w:autoSpaceDN w:val="0"/>
              <w:adjustRightInd w:val="0"/>
              <w:jc w:val="left"/>
              <w:rPr>
                <w:rFonts w:ascii="宋体" w:cs="宋体"/>
                <w:kern w:val="0"/>
                <w:szCs w:val="21"/>
              </w:rPr>
            </w:pPr>
          </w:p>
        </w:tc>
      </w:tr>
      <w:tr w14:paraId="1C48C8BD">
        <w:tblPrEx>
          <w:tblCellMar>
            <w:top w:w="0" w:type="dxa"/>
            <w:left w:w="108" w:type="dxa"/>
            <w:bottom w:w="0" w:type="dxa"/>
            <w:right w:w="108" w:type="dxa"/>
          </w:tblCellMar>
        </w:tblPrEx>
        <w:tc>
          <w:tcPr>
            <w:tcW w:w="485" w:type="pct"/>
          </w:tcPr>
          <w:p w14:paraId="14ECE07F">
            <w:pPr>
              <w:autoSpaceDE w:val="0"/>
              <w:autoSpaceDN w:val="0"/>
              <w:adjustRightInd w:val="0"/>
              <w:jc w:val="left"/>
              <w:rPr>
                <w:rFonts w:ascii="宋体" w:cs="宋体"/>
                <w:kern w:val="0"/>
                <w:szCs w:val="21"/>
              </w:rPr>
            </w:pPr>
          </w:p>
        </w:tc>
        <w:tc>
          <w:tcPr>
            <w:tcW w:w="955" w:type="pct"/>
          </w:tcPr>
          <w:p w14:paraId="175697C6">
            <w:pPr>
              <w:spacing w:line="320" w:lineRule="exact"/>
              <w:jc w:val="left"/>
              <w:rPr>
                <w:rFonts w:hint="default" w:ascii="宋体" w:eastAsia="华文新魏" w:cs="宋体"/>
                <w:kern w:val="0"/>
                <w:szCs w:val="21"/>
                <w:lang w:val="en-US" w:eastAsia="zh-CN"/>
              </w:rPr>
            </w:pPr>
            <w:r>
              <w:rPr>
                <w:rFonts w:hint="eastAsia" w:ascii="华文新魏" w:hAnsi="宋体" w:eastAsia="华文新魏"/>
                <w:b/>
                <w:bCs/>
                <w:iCs/>
                <w:sz w:val="24"/>
                <w:szCs w:val="24"/>
              </w:rPr>
              <w:t>2-</w:t>
            </w:r>
            <w:r>
              <w:rPr>
                <w:rFonts w:hint="eastAsia" w:ascii="华文新魏" w:hAnsi="宋体" w:eastAsia="华文新魏"/>
                <w:b/>
                <w:bCs/>
                <w:iCs/>
                <w:sz w:val="24"/>
                <w:szCs w:val="24"/>
                <w:lang w:val="en-US" w:eastAsia="zh-CN"/>
              </w:rPr>
              <w:t>严重阿尔茨海默病</w:t>
            </w:r>
          </w:p>
        </w:tc>
        <w:tc>
          <w:tcPr>
            <w:tcW w:w="3559" w:type="pct"/>
          </w:tcPr>
          <w:p w14:paraId="52BC73DE">
            <w:pPr>
              <w:autoSpaceDE w:val="0"/>
              <w:autoSpaceDN w:val="0"/>
              <w:adjustRightInd w:val="0"/>
              <w:jc w:val="left"/>
              <w:rPr>
                <w:rFonts w:ascii="宋体" w:cs="宋体"/>
                <w:kern w:val="0"/>
                <w:szCs w:val="21"/>
              </w:rPr>
            </w:pPr>
            <w:r>
              <w:rPr>
                <w:rFonts w:ascii="宋体" w:cs="宋体"/>
                <w:kern w:val="0"/>
                <w:szCs w:val="21"/>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14:paraId="5560E4ED">
            <w:pPr>
              <w:autoSpaceDE w:val="0"/>
              <w:autoSpaceDN w:val="0"/>
              <w:adjustRightInd w:val="0"/>
              <w:jc w:val="left"/>
              <w:rPr>
                <w:rFonts w:ascii="宋体" w:cs="宋体"/>
                <w:kern w:val="0"/>
                <w:szCs w:val="21"/>
              </w:rPr>
            </w:pPr>
            <w:r>
              <w:rPr>
                <w:rFonts w:ascii="宋体" w:cs="宋体"/>
                <w:kern w:val="0"/>
                <w:szCs w:val="21"/>
              </w:rPr>
              <w:t>（1）由具有评估资格的专科医生根据临床痴呆评定量表（CDR，Clinical Dementia Rating）评估结果为3分；</w:t>
            </w:r>
          </w:p>
          <w:p w14:paraId="39AFA006">
            <w:pPr>
              <w:autoSpaceDE w:val="0"/>
              <w:autoSpaceDN w:val="0"/>
              <w:adjustRightInd w:val="0"/>
              <w:jc w:val="left"/>
              <w:rPr>
                <w:rFonts w:ascii="宋体" w:cs="宋体"/>
                <w:kern w:val="0"/>
                <w:szCs w:val="21"/>
              </w:rPr>
            </w:pPr>
            <w:r>
              <w:rPr>
                <w:rFonts w:ascii="宋体" w:cs="宋体"/>
                <w:kern w:val="0"/>
                <w:szCs w:val="21"/>
              </w:rPr>
              <w:t>（2）自主生活能力完全丧失，无法独立完成六项基本日常生活活动中的三项或三项以上。</w:t>
            </w:r>
          </w:p>
          <w:p w14:paraId="1C920415">
            <w:pPr>
              <w:autoSpaceDE w:val="0"/>
              <w:autoSpaceDN w:val="0"/>
              <w:adjustRightInd w:val="0"/>
              <w:jc w:val="left"/>
              <w:rPr>
                <w:rFonts w:ascii="宋体" w:cs="宋体"/>
                <w:kern w:val="0"/>
                <w:szCs w:val="21"/>
              </w:rPr>
            </w:pPr>
            <w:r>
              <w:rPr>
                <w:rFonts w:ascii="宋体" w:cs="宋体"/>
                <w:kern w:val="0"/>
                <w:szCs w:val="21"/>
                <w:shd w:val="pct15" w:color="auto" w:fill="FFFFFF"/>
              </w:rPr>
              <w:t>阿尔茨海默病之外的其他类型痴呆不在保障范围内。</w:t>
            </w:r>
          </w:p>
        </w:tc>
      </w:tr>
      <w:tr w14:paraId="7B85F177">
        <w:tblPrEx>
          <w:tblCellMar>
            <w:top w:w="0" w:type="dxa"/>
            <w:left w:w="108" w:type="dxa"/>
            <w:bottom w:w="0" w:type="dxa"/>
            <w:right w:w="108" w:type="dxa"/>
          </w:tblCellMar>
        </w:tblPrEx>
        <w:tc>
          <w:tcPr>
            <w:tcW w:w="485" w:type="pct"/>
          </w:tcPr>
          <w:p w14:paraId="00ADDE46">
            <w:pPr>
              <w:autoSpaceDE w:val="0"/>
              <w:autoSpaceDN w:val="0"/>
              <w:adjustRightInd w:val="0"/>
              <w:jc w:val="left"/>
              <w:rPr>
                <w:rFonts w:ascii="宋体" w:cs="宋体"/>
                <w:kern w:val="0"/>
                <w:szCs w:val="21"/>
              </w:rPr>
            </w:pPr>
          </w:p>
        </w:tc>
        <w:tc>
          <w:tcPr>
            <w:tcW w:w="955" w:type="pct"/>
          </w:tcPr>
          <w:p w14:paraId="3AECFF8B">
            <w:pPr>
              <w:spacing w:line="320" w:lineRule="exact"/>
              <w:jc w:val="left"/>
              <w:rPr>
                <w:rFonts w:hint="eastAsia" w:ascii="华文新魏" w:hAnsi="宋体" w:eastAsia="华文新魏"/>
                <w:b/>
                <w:bCs/>
                <w:iCs/>
                <w:sz w:val="24"/>
                <w:szCs w:val="24"/>
              </w:rPr>
            </w:pPr>
          </w:p>
        </w:tc>
        <w:tc>
          <w:tcPr>
            <w:tcW w:w="3559" w:type="pct"/>
          </w:tcPr>
          <w:p w14:paraId="4A8B3643">
            <w:pPr>
              <w:autoSpaceDE w:val="0"/>
              <w:autoSpaceDN w:val="0"/>
              <w:adjustRightInd w:val="0"/>
              <w:jc w:val="left"/>
              <w:rPr>
                <w:rFonts w:ascii="宋体" w:cs="宋体"/>
                <w:kern w:val="0"/>
                <w:szCs w:val="21"/>
              </w:rPr>
            </w:pPr>
          </w:p>
        </w:tc>
      </w:tr>
      <w:tr w14:paraId="60E20A3E">
        <w:tblPrEx>
          <w:tblCellMar>
            <w:top w:w="0" w:type="dxa"/>
            <w:left w:w="108" w:type="dxa"/>
            <w:bottom w:w="0" w:type="dxa"/>
            <w:right w:w="108" w:type="dxa"/>
          </w:tblCellMar>
        </w:tblPrEx>
        <w:tc>
          <w:tcPr>
            <w:tcW w:w="485" w:type="pct"/>
          </w:tcPr>
          <w:p w14:paraId="315E7485">
            <w:pPr>
              <w:autoSpaceDE w:val="0"/>
              <w:autoSpaceDN w:val="0"/>
              <w:adjustRightInd w:val="0"/>
              <w:jc w:val="left"/>
              <w:rPr>
                <w:rFonts w:ascii="宋体" w:cs="宋体"/>
                <w:kern w:val="0"/>
                <w:szCs w:val="21"/>
              </w:rPr>
            </w:pPr>
          </w:p>
        </w:tc>
        <w:tc>
          <w:tcPr>
            <w:tcW w:w="955" w:type="pct"/>
          </w:tcPr>
          <w:p w14:paraId="2FBAD4C7">
            <w:pPr>
              <w:spacing w:line="320" w:lineRule="exact"/>
              <w:jc w:val="left"/>
              <w:rPr>
                <w:rFonts w:hint="default" w:ascii="宋体" w:eastAsia="华文新魏" w:cs="宋体"/>
                <w:kern w:val="0"/>
                <w:szCs w:val="21"/>
                <w:lang w:val="en-US" w:eastAsia="zh-CN"/>
              </w:rPr>
            </w:pPr>
            <w:r>
              <w:rPr>
                <w:rFonts w:hint="eastAsia" w:ascii="华文新魏" w:hAnsi="宋体" w:eastAsia="华文新魏"/>
                <w:b/>
                <w:bCs/>
                <w:iCs/>
                <w:sz w:val="24"/>
                <w:szCs w:val="24"/>
              </w:rPr>
              <w:t>3-</w:t>
            </w:r>
            <w:r>
              <w:rPr>
                <w:rFonts w:hint="eastAsia" w:ascii="华文新魏" w:hAnsi="宋体" w:eastAsia="华文新魏"/>
                <w:b/>
                <w:bCs/>
                <w:iCs/>
                <w:sz w:val="24"/>
                <w:szCs w:val="24"/>
                <w:lang w:val="en-US" w:eastAsia="zh-CN"/>
              </w:rPr>
              <w:t>多个肢体缺失</w:t>
            </w:r>
          </w:p>
        </w:tc>
        <w:tc>
          <w:tcPr>
            <w:tcW w:w="3559" w:type="pct"/>
          </w:tcPr>
          <w:p w14:paraId="62A9CAEF">
            <w:pPr>
              <w:autoSpaceDE w:val="0"/>
              <w:autoSpaceDN w:val="0"/>
              <w:adjustRightInd w:val="0"/>
              <w:jc w:val="left"/>
              <w:rPr>
                <w:rFonts w:ascii="宋体" w:cs="宋体"/>
                <w:kern w:val="0"/>
                <w:szCs w:val="21"/>
              </w:rPr>
            </w:pPr>
            <w:r>
              <w:rPr>
                <w:rFonts w:ascii="宋体" w:cs="宋体"/>
                <w:kern w:val="0"/>
                <w:szCs w:val="21"/>
              </w:rPr>
              <w:t>指因疾病或意外伤害导致两个或两个以上肢体自腕关节或踝关节近端（靠近躯干端）以上完全性断离。</w:t>
            </w:r>
          </w:p>
        </w:tc>
      </w:tr>
      <w:tr w14:paraId="45626841">
        <w:tblPrEx>
          <w:tblCellMar>
            <w:top w:w="0" w:type="dxa"/>
            <w:left w:w="108" w:type="dxa"/>
            <w:bottom w:w="0" w:type="dxa"/>
            <w:right w:w="108" w:type="dxa"/>
          </w:tblCellMar>
        </w:tblPrEx>
        <w:tc>
          <w:tcPr>
            <w:tcW w:w="485" w:type="pct"/>
          </w:tcPr>
          <w:p w14:paraId="25A422E4">
            <w:pPr>
              <w:autoSpaceDE w:val="0"/>
              <w:autoSpaceDN w:val="0"/>
              <w:adjustRightInd w:val="0"/>
              <w:jc w:val="left"/>
              <w:rPr>
                <w:rFonts w:ascii="宋体" w:cs="宋体"/>
                <w:kern w:val="0"/>
                <w:szCs w:val="21"/>
              </w:rPr>
            </w:pPr>
          </w:p>
        </w:tc>
        <w:tc>
          <w:tcPr>
            <w:tcW w:w="955" w:type="pct"/>
          </w:tcPr>
          <w:p w14:paraId="77284D76">
            <w:pPr>
              <w:spacing w:line="320" w:lineRule="exact"/>
              <w:jc w:val="left"/>
              <w:rPr>
                <w:rFonts w:hint="eastAsia" w:ascii="华文新魏" w:hAnsi="宋体" w:eastAsia="华文新魏"/>
                <w:b/>
                <w:bCs/>
                <w:iCs/>
                <w:sz w:val="24"/>
                <w:szCs w:val="24"/>
              </w:rPr>
            </w:pPr>
          </w:p>
        </w:tc>
        <w:tc>
          <w:tcPr>
            <w:tcW w:w="3559" w:type="pct"/>
          </w:tcPr>
          <w:p w14:paraId="1C4BDBA3">
            <w:pPr>
              <w:autoSpaceDE w:val="0"/>
              <w:autoSpaceDN w:val="0"/>
              <w:adjustRightInd w:val="0"/>
              <w:jc w:val="left"/>
              <w:rPr>
                <w:rFonts w:ascii="宋体" w:cs="宋体"/>
                <w:kern w:val="0"/>
                <w:szCs w:val="21"/>
              </w:rPr>
            </w:pPr>
          </w:p>
        </w:tc>
      </w:tr>
      <w:tr w14:paraId="5E60CE74">
        <w:tblPrEx>
          <w:tblCellMar>
            <w:top w:w="0" w:type="dxa"/>
            <w:left w:w="108" w:type="dxa"/>
            <w:bottom w:w="0" w:type="dxa"/>
            <w:right w:w="108" w:type="dxa"/>
          </w:tblCellMar>
        </w:tblPrEx>
        <w:tc>
          <w:tcPr>
            <w:tcW w:w="485" w:type="pct"/>
          </w:tcPr>
          <w:p w14:paraId="2F413CCF">
            <w:pPr>
              <w:autoSpaceDE w:val="0"/>
              <w:autoSpaceDN w:val="0"/>
              <w:adjustRightInd w:val="0"/>
              <w:jc w:val="left"/>
              <w:rPr>
                <w:rFonts w:ascii="宋体" w:cs="宋体"/>
                <w:kern w:val="0"/>
                <w:szCs w:val="21"/>
              </w:rPr>
            </w:pPr>
          </w:p>
        </w:tc>
        <w:tc>
          <w:tcPr>
            <w:tcW w:w="955" w:type="pct"/>
          </w:tcPr>
          <w:p w14:paraId="773B5DED">
            <w:pPr>
              <w:spacing w:line="320" w:lineRule="exact"/>
              <w:jc w:val="left"/>
              <w:rPr>
                <w:rFonts w:hint="default" w:ascii="华文新魏" w:hAnsi="宋体" w:eastAsia="华文新魏"/>
                <w:b/>
                <w:bCs/>
                <w:iCs/>
                <w:sz w:val="24"/>
                <w:lang w:val="en-US" w:eastAsia="zh-CN"/>
              </w:rPr>
            </w:pPr>
            <w:r>
              <w:rPr>
                <w:rFonts w:hint="eastAsia" w:ascii="华文新魏" w:hAnsi="宋体" w:eastAsia="华文新魏"/>
                <w:b/>
                <w:bCs/>
                <w:iCs/>
                <w:sz w:val="24"/>
                <w:szCs w:val="24"/>
              </w:rPr>
              <w:t>4-</w:t>
            </w:r>
            <w:r>
              <w:rPr>
                <w:rFonts w:hint="eastAsia" w:ascii="华文新魏" w:hAnsi="宋体" w:eastAsia="华文新魏"/>
                <w:b/>
                <w:bCs/>
                <w:iCs/>
                <w:sz w:val="24"/>
                <w:szCs w:val="24"/>
                <w:lang w:val="en-US" w:eastAsia="zh-CN"/>
              </w:rPr>
              <w:t>严重脑损伤</w:t>
            </w:r>
          </w:p>
        </w:tc>
        <w:tc>
          <w:tcPr>
            <w:tcW w:w="3559" w:type="pct"/>
          </w:tcPr>
          <w:p w14:paraId="0C822C61">
            <w:pPr>
              <w:autoSpaceDE w:val="0"/>
              <w:autoSpaceDN w:val="0"/>
              <w:adjustRightInd w:val="0"/>
              <w:jc w:val="left"/>
              <w:rPr>
                <w:rFonts w:ascii="宋体" w:cs="宋体"/>
                <w:kern w:val="0"/>
                <w:szCs w:val="21"/>
              </w:rPr>
            </w:pPr>
            <w:r>
              <w:rPr>
                <w:rFonts w:ascii="宋体" w:cs="宋体"/>
                <w:kern w:val="0"/>
                <w:szCs w:val="21"/>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w:t>
            </w:r>
          </w:p>
          <w:p w14:paraId="3B6A4F2D">
            <w:pPr>
              <w:autoSpaceDE w:val="0"/>
              <w:autoSpaceDN w:val="0"/>
              <w:adjustRightInd w:val="0"/>
              <w:jc w:val="left"/>
              <w:rPr>
                <w:rFonts w:ascii="宋体" w:cs="宋体"/>
                <w:kern w:val="0"/>
                <w:szCs w:val="21"/>
              </w:rPr>
            </w:pPr>
            <w:r>
              <w:rPr>
                <w:rFonts w:ascii="宋体" w:cs="宋体"/>
                <w:kern w:val="0"/>
                <w:szCs w:val="21"/>
              </w:rPr>
              <w:t>（1）一肢（含）以上肢体肌力2级（含）以下；</w:t>
            </w:r>
          </w:p>
          <w:p w14:paraId="6A41F73D">
            <w:pPr>
              <w:autoSpaceDE w:val="0"/>
              <w:autoSpaceDN w:val="0"/>
              <w:adjustRightInd w:val="0"/>
              <w:jc w:val="left"/>
              <w:rPr>
                <w:rFonts w:ascii="宋体" w:cs="宋体"/>
                <w:kern w:val="0"/>
                <w:szCs w:val="21"/>
              </w:rPr>
            </w:pPr>
            <w:r>
              <w:rPr>
                <w:rFonts w:ascii="宋体" w:cs="宋体"/>
                <w:kern w:val="0"/>
                <w:szCs w:val="21"/>
              </w:rPr>
              <w:t>（2）语言能力完全丧失，或严重咀嚼吞咽功能障碍；</w:t>
            </w:r>
          </w:p>
          <w:p w14:paraId="1104D7FD">
            <w:pPr>
              <w:autoSpaceDE w:val="0"/>
              <w:autoSpaceDN w:val="0"/>
              <w:adjustRightInd w:val="0"/>
              <w:jc w:val="left"/>
              <w:rPr>
                <w:rFonts w:ascii="宋体" w:cs="宋体"/>
                <w:kern w:val="0"/>
                <w:szCs w:val="21"/>
              </w:rPr>
            </w:pPr>
            <w:r>
              <w:rPr>
                <w:rFonts w:ascii="宋体" w:cs="宋体"/>
                <w:kern w:val="0"/>
                <w:szCs w:val="21"/>
              </w:rPr>
              <w:t>（3）自主生活能力完全丧失，无法独立完成六项基本日常生活活动中的三项或三项以上。</w:t>
            </w:r>
          </w:p>
        </w:tc>
      </w:tr>
      <w:tr w14:paraId="69CC4BD8">
        <w:tblPrEx>
          <w:tblCellMar>
            <w:top w:w="0" w:type="dxa"/>
            <w:left w:w="108" w:type="dxa"/>
            <w:bottom w:w="0" w:type="dxa"/>
            <w:right w:w="108" w:type="dxa"/>
          </w:tblCellMar>
        </w:tblPrEx>
        <w:tc>
          <w:tcPr>
            <w:tcW w:w="485" w:type="pct"/>
          </w:tcPr>
          <w:p w14:paraId="6C4E78BC">
            <w:pPr>
              <w:autoSpaceDE w:val="0"/>
              <w:autoSpaceDN w:val="0"/>
              <w:adjustRightInd w:val="0"/>
              <w:jc w:val="left"/>
              <w:rPr>
                <w:rFonts w:ascii="宋体" w:cs="宋体"/>
                <w:kern w:val="0"/>
                <w:szCs w:val="21"/>
              </w:rPr>
            </w:pPr>
          </w:p>
        </w:tc>
        <w:tc>
          <w:tcPr>
            <w:tcW w:w="955" w:type="pct"/>
          </w:tcPr>
          <w:p w14:paraId="65710219">
            <w:pPr>
              <w:spacing w:line="320" w:lineRule="exact"/>
              <w:jc w:val="left"/>
              <w:rPr>
                <w:rFonts w:hint="eastAsia" w:ascii="华文新魏" w:hAnsi="宋体" w:eastAsia="华文新魏"/>
                <w:b/>
                <w:bCs/>
                <w:iCs/>
                <w:sz w:val="24"/>
                <w:szCs w:val="24"/>
              </w:rPr>
            </w:pPr>
          </w:p>
        </w:tc>
        <w:tc>
          <w:tcPr>
            <w:tcW w:w="3559" w:type="pct"/>
          </w:tcPr>
          <w:p w14:paraId="29F51F58">
            <w:pPr>
              <w:autoSpaceDE w:val="0"/>
              <w:autoSpaceDN w:val="0"/>
              <w:adjustRightInd w:val="0"/>
              <w:jc w:val="left"/>
              <w:rPr>
                <w:rFonts w:ascii="宋体" w:cs="宋体"/>
                <w:kern w:val="0"/>
                <w:szCs w:val="21"/>
              </w:rPr>
            </w:pPr>
          </w:p>
        </w:tc>
      </w:tr>
      <w:tr w14:paraId="63445059">
        <w:tblPrEx>
          <w:tblCellMar>
            <w:top w:w="0" w:type="dxa"/>
            <w:left w:w="108" w:type="dxa"/>
            <w:bottom w:w="0" w:type="dxa"/>
            <w:right w:w="108" w:type="dxa"/>
          </w:tblCellMar>
        </w:tblPrEx>
        <w:tc>
          <w:tcPr>
            <w:tcW w:w="485" w:type="pct"/>
          </w:tcPr>
          <w:p w14:paraId="4CF1F325">
            <w:pPr>
              <w:autoSpaceDE w:val="0"/>
              <w:autoSpaceDN w:val="0"/>
              <w:adjustRightInd w:val="0"/>
              <w:jc w:val="left"/>
              <w:rPr>
                <w:rFonts w:ascii="宋体" w:cs="宋体"/>
                <w:kern w:val="0"/>
                <w:szCs w:val="21"/>
              </w:rPr>
            </w:pPr>
          </w:p>
        </w:tc>
        <w:tc>
          <w:tcPr>
            <w:tcW w:w="955" w:type="pct"/>
          </w:tcPr>
          <w:p w14:paraId="554FA2D0">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5-</w:t>
            </w:r>
            <w:r>
              <w:rPr>
                <w:rFonts w:hint="eastAsia" w:ascii="华文新魏" w:hAnsi="宋体" w:eastAsia="华文新魏"/>
                <w:b/>
                <w:bCs/>
                <w:iCs/>
                <w:sz w:val="24"/>
                <w:szCs w:val="24"/>
                <w:lang w:val="en-US" w:eastAsia="zh-CN"/>
              </w:rPr>
              <w:t>严重脑炎后遗症或严重脑膜炎后遗症</w:t>
            </w:r>
          </w:p>
        </w:tc>
        <w:tc>
          <w:tcPr>
            <w:tcW w:w="3559" w:type="pct"/>
          </w:tcPr>
          <w:p w14:paraId="1F5CF34C">
            <w:pPr>
              <w:rPr>
                <w:rFonts w:ascii="宋体" w:hAnsi="宋体"/>
              </w:rPr>
            </w:pPr>
            <w:r>
              <w:rPr>
                <w:rFonts w:hint="eastAsia" w:ascii="宋体" w:hAnsi="宋体"/>
              </w:rPr>
              <w:t>指因患脑炎或脑膜炎导致的神经系统永久性的功能障碍。神经系统永久性的功能障碍，指经相关专科医生确诊疾病180天后，仍遗留下列至少一种障碍：</w:t>
            </w:r>
          </w:p>
          <w:p w14:paraId="4640B497">
            <w:pPr>
              <w:rPr>
                <w:rFonts w:ascii="宋体" w:hAnsi="宋体"/>
              </w:rPr>
            </w:pPr>
            <w:r>
              <w:rPr>
                <w:rFonts w:hint="eastAsia" w:ascii="宋体" w:hAnsi="宋体"/>
              </w:rPr>
              <w:t>（1）一肢（含）以上肢体肌力2级（含）以下；</w:t>
            </w:r>
          </w:p>
          <w:p w14:paraId="6802728E">
            <w:pPr>
              <w:ind w:left="315" w:hanging="315" w:hangingChars="150"/>
              <w:rPr>
                <w:rFonts w:ascii="宋体" w:hAnsi="宋体"/>
              </w:rPr>
            </w:pPr>
            <w:r>
              <w:rPr>
                <w:rFonts w:hint="eastAsia" w:ascii="宋体" w:hAnsi="宋体"/>
              </w:rPr>
              <w:t>（2）语言能力完全丧失，或严重咀嚼吞咽功能障碍；</w:t>
            </w:r>
          </w:p>
          <w:p w14:paraId="64A6E943">
            <w:pPr>
              <w:ind w:left="525" w:hanging="525" w:hangingChars="250"/>
              <w:rPr>
                <w:rFonts w:ascii="宋体" w:hAnsi="宋体"/>
              </w:rPr>
            </w:pPr>
            <w:r>
              <w:rPr>
                <w:rFonts w:hint="eastAsia" w:ascii="宋体" w:hAnsi="宋体"/>
              </w:rPr>
              <w:t>（3）由具有评估资格的专科医生根据临床痴呆评定量表（CDR，Clinical Dementia Rating）评估结果为3分；</w:t>
            </w:r>
          </w:p>
          <w:p w14:paraId="12B95B6E">
            <w:pPr>
              <w:autoSpaceDE w:val="0"/>
              <w:autoSpaceDN w:val="0"/>
              <w:adjustRightInd w:val="0"/>
              <w:rPr>
                <w:rFonts w:ascii="宋体" w:cs="宋体"/>
                <w:kern w:val="0"/>
                <w:szCs w:val="21"/>
              </w:rPr>
            </w:pPr>
            <w:r>
              <w:rPr>
                <w:rFonts w:hint="eastAsia" w:ascii="宋体" w:hAnsi="宋体"/>
              </w:rPr>
              <w:t>（4）自主生活能力完全丧失，无法独立完成六项基本日常生活活动中的三项或三项以上。</w:t>
            </w:r>
          </w:p>
        </w:tc>
      </w:tr>
      <w:tr w14:paraId="41822E9D">
        <w:tblPrEx>
          <w:tblCellMar>
            <w:top w:w="0" w:type="dxa"/>
            <w:left w:w="108" w:type="dxa"/>
            <w:bottom w:w="0" w:type="dxa"/>
            <w:right w:w="108" w:type="dxa"/>
          </w:tblCellMar>
        </w:tblPrEx>
        <w:tc>
          <w:tcPr>
            <w:tcW w:w="485" w:type="pct"/>
          </w:tcPr>
          <w:p w14:paraId="2596B8DE">
            <w:pPr>
              <w:autoSpaceDE w:val="0"/>
              <w:autoSpaceDN w:val="0"/>
              <w:adjustRightInd w:val="0"/>
              <w:jc w:val="left"/>
              <w:rPr>
                <w:rFonts w:ascii="宋体" w:cs="宋体"/>
                <w:kern w:val="0"/>
                <w:szCs w:val="21"/>
              </w:rPr>
            </w:pPr>
          </w:p>
        </w:tc>
        <w:tc>
          <w:tcPr>
            <w:tcW w:w="955" w:type="pct"/>
          </w:tcPr>
          <w:p w14:paraId="570D7E73">
            <w:pPr>
              <w:spacing w:line="320" w:lineRule="exact"/>
              <w:jc w:val="left"/>
              <w:rPr>
                <w:rFonts w:hint="eastAsia" w:ascii="华文新魏" w:hAnsi="宋体" w:eastAsia="华文新魏"/>
                <w:b/>
                <w:bCs/>
                <w:iCs/>
                <w:sz w:val="24"/>
                <w:szCs w:val="24"/>
              </w:rPr>
            </w:pPr>
          </w:p>
        </w:tc>
        <w:tc>
          <w:tcPr>
            <w:tcW w:w="3559" w:type="pct"/>
          </w:tcPr>
          <w:p w14:paraId="7A62D4BF">
            <w:pPr>
              <w:autoSpaceDE w:val="0"/>
              <w:autoSpaceDN w:val="0"/>
              <w:adjustRightInd w:val="0"/>
              <w:rPr>
                <w:rFonts w:ascii="宋体" w:cs="宋体"/>
                <w:kern w:val="0"/>
                <w:szCs w:val="21"/>
              </w:rPr>
            </w:pPr>
          </w:p>
        </w:tc>
      </w:tr>
      <w:tr w14:paraId="47C04563">
        <w:tblPrEx>
          <w:tblCellMar>
            <w:top w:w="0" w:type="dxa"/>
            <w:left w:w="108" w:type="dxa"/>
            <w:bottom w:w="0" w:type="dxa"/>
            <w:right w:w="108" w:type="dxa"/>
          </w:tblCellMar>
        </w:tblPrEx>
        <w:tc>
          <w:tcPr>
            <w:tcW w:w="485" w:type="pct"/>
          </w:tcPr>
          <w:p w14:paraId="4957B188">
            <w:pPr>
              <w:autoSpaceDE w:val="0"/>
              <w:autoSpaceDN w:val="0"/>
              <w:adjustRightInd w:val="0"/>
              <w:jc w:val="left"/>
              <w:rPr>
                <w:rFonts w:ascii="宋体" w:cs="宋体"/>
                <w:kern w:val="0"/>
                <w:szCs w:val="21"/>
              </w:rPr>
            </w:pPr>
          </w:p>
          <w:p w14:paraId="58522D65">
            <w:pPr>
              <w:autoSpaceDE w:val="0"/>
              <w:autoSpaceDN w:val="0"/>
              <w:adjustRightInd w:val="0"/>
              <w:jc w:val="left"/>
              <w:rPr>
                <w:rFonts w:ascii="宋体" w:cs="宋体"/>
                <w:kern w:val="0"/>
                <w:szCs w:val="21"/>
              </w:rPr>
            </w:pPr>
          </w:p>
        </w:tc>
        <w:tc>
          <w:tcPr>
            <w:tcW w:w="955" w:type="pct"/>
          </w:tcPr>
          <w:p w14:paraId="0E176284">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6-</w:t>
            </w:r>
            <w:r>
              <w:rPr>
                <w:rFonts w:hint="eastAsia" w:ascii="华文新魏" w:hAnsi="宋体" w:eastAsia="华文新魏"/>
                <w:b/>
                <w:bCs/>
                <w:iCs/>
                <w:sz w:val="24"/>
                <w:szCs w:val="24"/>
                <w:lang w:val="en-US" w:eastAsia="zh-CN"/>
              </w:rPr>
              <w:t>严重原发性帕金森病</w:t>
            </w:r>
          </w:p>
        </w:tc>
        <w:tc>
          <w:tcPr>
            <w:tcW w:w="3559" w:type="pct"/>
          </w:tcPr>
          <w:p w14:paraId="052B682D">
            <w:pPr>
              <w:autoSpaceDE w:val="0"/>
              <w:autoSpaceDN w:val="0"/>
              <w:adjustRightInd w:val="0"/>
              <w:jc w:val="left"/>
              <w:rPr>
                <w:rFonts w:ascii="宋体" w:cs="宋体"/>
                <w:kern w:val="0"/>
                <w:szCs w:val="21"/>
              </w:rPr>
            </w:pPr>
            <w:r>
              <w:rPr>
                <w:rFonts w:ascii="宋体" w:cs="宋体"/>
                <w:kern w:val="0"/>
                <w:szCs w:val="21"/>
              </w:rPr>
              <w:t>是一种中枢神经系统的退行性疾病，临床表现为运动迟缓、静止性震颤或肌强直等，经相关专科医生确诊，且须满足自主生活能力完全丧失，无法独立完成六项基本日常生活活动中的三项或三项以上。</w:t>
            </w:r>
          </w:p>
          <w:p w14:paraId="620310D5">
            <w:pPr>
              <w:autoSpaceDE w:val="0"/>
              <w:autoSpaceDN w:val="0"/>
              <w:adjustRightInd w:val="0"/>
              <w:jc w:val="left"/>
              <w:rPr>
                <w:rFonts w:ascii="宋体" w:cs="宋体"/>
                <w:kern w:val="0"/>
                <w:szCs w:val="21"/>
              </w:rPr>
            </w:pPr>
            <w:r>
              <w:rPr>
                <w:rFonts w:ascii="宋体" w:cs="宋体"/>
                <w:kern w:val="0"/>
                <w:szCs w:val="21"/>
                <w:shd w:val="pct15" w:color="auto" w:fill="FFFFFF"/>
              </w:rPr>
              <w:t>继发性帕金森综合征、帕金森叠加综合征不在保障范围内。</w:t>
            </w:r>
          </w:p>
        </w:tc>
      </w:tr>
      <w:tr w14:paraId="281C7905">
        <w:tblPrEx>
          <w:tblCellMar>
            <w:top w:w="0" w:type="dxa"/>
            <w:left w:w="108" w:type="dxa"/>
            <w:bottom w:w="0" w:type="dxa"/>
            <w:right w:w="108" w:type="dxa"/>
          </w:tblCellMar>
        </w:tblPrEx>
        <w:tc>
          <w:tcPr>
            <w:tcW w:w="485" w:type="pct"/>
          </w:tcPr>
          <w:p w14:paraId="1605A649">
            <w:pPr>
              <w:autoSpaceDE w:val="0"/>
              <w:autoSpaceDN w:val="0"/>
              <w:adjustRightInd w:val="0"/>
              <w:jc w:val="left"/>
              <w:rPr>
                <w:rFonts w:ascii="宋体" w:cs="宋体"/>
                <w:kern w:val="0"/>
                <w:szCs w:val="21"/>
              </w:rPr>
            </w:pPr>
          </w:p>
        </w:tc>
        <w:tc>
          <w:tcPr>
            <w:tcW w:w="955" w:type="pct"/>
          </w:tcPr>
          <w:p w14:paraId="05791516">
            <w:pPr>
              <w:spacing w:line="320" w:lineRule="exact"/>
              <w:jc w:val="left"/>
              <w:rPr>
                <w:rFonts w:ascii="华文新魏" w:hAnsi="宋体" w:eastAsia="华文新魏"/>
                <w:b/>
                <w:bCs/>
                <w:iCs/>
                <w:sz w:val="24"/>
                <w:szCs w:val="24"/>
              </w:rPr>
            </w:pPr>
          </w:p>
        </w:tc>
        <w:tc>
          <w:tcPr>
            <w:tcW w:w="3559" w:type="pct"/>
          </w:tcPr>
          <w:p w14:paraId="12904ACC">
            <w:pPr>
              <w:autoSpaceDE w:val="0"/>
              <w:autoSpaceDN w:val="0"/>
              <w:adjustRightInd w:val="0"/>
              <w:rPr>
                <w:rFonts w:ascii="宋体" w:cs="宋体"/>
                <w:kern w:val="0"/>
                <w:szCs w:val="21"/>
              </w:rPr>
            </w:pPr>
          </w:p>
        </w:tc>
      </w:tr>
      <w:tr w14:paraId="63AB4D89">
        <w:tblPrEx>
          <w:tblCellMar>
            <w:top w:w="0" w:type="dxa"/>
            <w:left w:w="108" w:type="dxa"/>
            <w:bottom w:w="0" w:type="dxa"/>
            <w:right w:w="108" w:type="dxa"/>
          </w:tblCellMar>
        </w:tblPrEx>
        <w:tc>
          <w:tcPr>
            <w:tcW w:w="485" w:type="pct"/>
          </w:tcPr>
          <w:p w14:paraId="173F3628">
            <w:pPr>
              <w:autoSpaceDE w:val="0"/>
              <w:autoSpaceDN w:val="0"/>
              <w:adjustRightInd w:val="0"/>
              <w:jc w:val="left"/>
              <w:rPr>
                <w:rFonts w:ascii="宋体" w:cs="宋体"/>
                <w:kern w:val="0"/>
                <w:szCs w:val="21"/>
              </w:rPr>
            </w:pPr>
          </w:p>
        </w:tc>
        <w:tc>
          <w:tcPr>
            <w:tcW w:w="955" w:type="pct"/>
          </w:tcPr>
          <w:p w14:paraId="2CA7F5BB">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7-</w:t>
            </w:r>
            <w:r>
              <w:rPr>
                <w:rFonts w:hint="eastAsia" w:ascii="华文新魏" w:hAnsi="宋体" w:eastAsia="华文新魏"/>
                <w:b/>
                <w:bCs/>
                <w:iCs/>
                <w:sz w:val="24"/>
                <w:szCs w:val="24"/>
                <w:lang w:val="en-US" w:eastAsia="zh-CN"/>
              </w:rPr>
              <w:t>双目失明</w:t>
            </w:r>
          </w:p>
        </w:tc>
        <w:tc>
          <w:tcPr>
            <w:tcW w:w="3559" w:type="pct"/>
          </w:tcPr>
          <w:p w14:paraId="56B112B0">
            <w:pPr>
              <w:autoSpaceDE w:val="0"/>
              <w:autoSpaceDN w:val="0"/>
              <w:adjustRightInd w:val="0"/>
              <w:jc w:val="left"/>
              <w:rPr>
                <w:rFonts w:ascii="宋体" w:cs="宋体"/>
                <w:kern w:val="0"/>
                <w:szCs w:val="21"/>
              </w:rPr>
            </w:pPr>
            <w:r>
              <w:rPr>
                <w:rFonts w:ascii="宋体" w:cs="宋体"/>
                <w:kern w:val="0"/>
                <w:szCs w:val="21"/>
              </w:rPr>
              <w:t>指因疾病或意外伤害导致双眼视力永久不可逆性丧失，双眼中较好眼须满足下列至少一项条件：</w:t>
            </w:r>
          </w:p>
          <w:p w14:paraId="662A51EB">
            <w:pPr>
              <w:autoSpaceDE w:val="0"/>
              <w:autoSpaceDN w:val="0"/>
              <w:adjustRightInd w:val="0"/>
              <w:jc w:val="left"/>
              <w:rPr>
                <w:rFonts w:ascii="宋体" w:cs="宋体"/>
                <w:kern w:val="0"/>
                <w:szCs w:val="21"/>
              </w:rPr>
            </w:pPr>
            <w:r>
              <w:rPr>
                <w:rFonts w:ascii="宋体" w:cs="宋体"/>
                <w:kern w:val="0"/>
                <w:szCs w:val="21"/>
              </w:rPr>
              <w:t>（1）眼球缺失或摘除；</w:t>
            </w:r>
          </w:p>
          <w:p w14:paraId="04EE760B">
            <w:pPr>
              <w:autoSpaceDE w:val="0"/>
              <w:autoSpaceDN w:val="0"/>
              <w:adjustRightInd w:val="0"/>
              <w:jc w:val="left"/>
              <w:rPr>
                <w:rFonts w:ascii="宋体" w:cs="宋体"/>
                <w:kern w:val="0"/>
                <w:szCs w:val="21"/>
              </w:rPr>
            </w:pPr>
            <w:r>
              <w:rPr>
                <w:rFonts w:ascii="宋体" w:cs="宋体"/>
                <w:kern w:val="0"/>
                <w:szCs w:val="21"/>
              </w:rPr>
              <w:t>（2）矫正视力低于0.02（采用国际标准视力表，如果使用其他视力表应进行换算）；</w:t>
            </w:r>
          </w:p>
          <w:p w14:paraId="7994E85A">
            <w:pPr>
              <w:autoSpaceDE w:val="0"/>
              <w:autoSpaceDN w:val="0"/>
              <w:adjustRightInd w:val="0"/>
              <w:jc w:val="left"/>
              <w:rPr>
                <w:rFonts w:ascii="宋体" w:cs="宋体"/>
                <w:kern w:val="0"/>
                <w:szCs w:val="21"/>
              </w:rPr>
            </w:pPr>
            <w:r>
              <w:rPr>
                <w:rFonts w:ascii="宋体" w:cs="宋体"/>
                <w:kern w:val="0"/>
                <w:szCs w:val="21"/>
              </w:rPr>
              <w:t>（3）视野半径小于5度。</w:t>
            </w:r>
          </w:p>
          <w:p w14:paraId="00EF6431">
            <w:pPr>
              <w:autoSpaceDE w:val="0"/>
              <w:autoSpaceDN w:val="0"/>
              <w:adjustRightInd w:val="0"/>
              <w:rPr>
                <w:rFonts w:ascii="宋体" w:cs="宋体"/>
                <w:kern w:val="0"/>
                <w:szCs w:val="21"/>
              </w:rPr>
            </w:pPr>
            <w:r>
              <w:rPr>
                <w:rFonts w:hint="eastAsia" w:ascii="宋体" w:cs="宋体"/>
                <w:kern w:val="0"/>
                <w:szCs w:val="21"/>
                <w:highlight w:val="none"/>
                <w:shd w:val="pct15" w:color="auto" w:fill="FFFFFF"/>
              </w:rPr>
              <w:t>被保险人申请理赔时年龄必须在三周岁以上，并且提供理赔当时的视力丧失诊断及检查证据。</w:t>
            </w:r>
          </w:p>
        </w:tc>
      </w:tr>
      <w:tr w14:paraId="3C276C39">
        <w:tblPrEx>
          <w:tblCellMar>
            <w:top w:w="0" w:type="dxa"/>
            <w:left w:w="108" w:type="dxa"/>
            <w:bottom w:w="0" w:type="dxa"/>
            <w:right w:w="108" w:type="dxa"/>
          </w:tblCellMar>
        </w:tblPrEx>
        <w:tc>
          <w:tcPr>
            <w:tcW w:w="485" w:type="pct"/>
          </w:tcPr>
          <w:p w14:paraId="179E6DBD">
            <w:pPr>
              <w:autoSpaceDE w:val="0"/>
              <w:autoSpaceDN w:val="0"/>
              <w:adjustRightInd w:val="0"/>
              <w:jc w:val="left"/>
              <w:rPr>
                <w:rFonts w:ascii="宋体" w:cs="宋体"/>
                <w:kern w:val="0"/>
                <w:szCs w:val="21"/>
              </w:rPr>
            </w:pPr>
          </w:p>
        </w:tc>
        <w:tc>
          <w:tcPr>
            <w:tcW w:w="955" w:type="pct"/>
          </w:tcPr>
          <w:p w14:paraId="7F02AECC">
            <w:pPr>
              <w:spacing w:line="320" w:lineRule="exact"/>
              <w:jc w:val="left"/>
              <w:rPr>
                <w:rFonts w:ascii="华文新魏" w:hAnsi="宋体" w:eastAsia="华文新魏"/>
                <w:b/>
                <w:bCs/>
                <w:iCs/>
                <w:sz w:val="24"/>
                <w:szCs w:val="24"/>
              </w:rPr>
            </w:pPr>
          </w:p>
        </w:tc>
        <w:tc>
          <w:tcPr>
            <w:tcW w:w="3559" w:type="pct"/>
          </w:tcPr>
          <w:p w14:paraId="3165C418">
            <w:pPr>
              <w:autoSpaceDE w:val="0"/>
              <w:autoSpaceDN w:val="0"/>
              <w:adjustRightInd w:val="0"/>
              <w:rPr>
                <w:rFonts w:hint="default" w:ascii="宋体" w:cs="宋体"/>
                <w:kern w:val="0"/>
                <w:szCs w:val="21"/>
                <w:lang w:val="en-US" w:eastAsia="zh-CN"/>
              </w:rPr>
            </w:pPr>
          </w:p>
        </w:tc>
      </w:tr>
      <w:tr w14:paraId="77757331">
        <w:tblPrEx>
          <w:tblCellMar>
            <w:top w:w="0" w:type="dxa"/>
            <w:left w:w="108" w:type="dxa"/>
            <w:bottom w:w="0" w:type="dxa"/>
            <w:right w:w="108" w:type="dxa"/>
          </w:tblCellMar>
        </w:tblPrEx>
        <w:tc>
          <w:tcPr>
            <w:tcW w:w="485" w:type="pct"/>
          </w:tcPr>
          <w:p w14:paraId="451FDBE2">
            <w:pPr>
              <w:autoSpaceDE w:val="0"/>
              <w:autoSpaceDN w:val="0"/>
              <w:adjustRightInd w:val="0"/>
              <w:jc w:val="left"/>
              <w:rPr>
                <w:rFonts w:ascii="宋体" w:cs="宋体"/>
                <w:kern w:val="0"/>
                <w:szCs w:val="21"/>
              </w:rPr>
            </w:pPr>
          </w:p>
        </w:tc>
        <w:tc>
          <w:tcPr>
            <w:tcW w:w="955" w:type="pct"/>
          </w:tcPr>
          <w:p w14:paraId="2542F89B">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8-</w:t>
            </w:r>
            <w:r>
              <w:rPr>
                <w:rFonts w:hint="eastAsia" w:ascii="华文新魏" w:hAnsi="宋体" w:eastAsia="华文新魏"/>
                <w:b/>
                <w:bCs/>
                <w:iCs/>
                <w:sz w:val="24"/>
                <w:szCs w:val="24"/>
                <w:lang w:val="en-US" w:eastAsia="zh-CN"/>
              </w:rPr>
              <w:t>严重特发性肺动脉高压</w:t>
            </w:r>
          </w:p>
        </w:tc>
        <w:tc>
          <w:tcPr>
            <w:tcW w:w="3559" w:type="pct"/>
          </w:tcPr>
          <w:p w14:paraId="6C51130D">
            <w:pPr>
              <w:autoSpaceDE w:val="0"/>
              <w:autoSpaceDN w:val="0"/>
              <w:adjustRightInd w:val="0"/>
              <w:rPr>
                <w:rFonts w:hint="default" w:ascii="宋体" w:cs="宋体"/>
                <w:kern w:val="0"/>
                <w:szCs w:val="21"/>
                <w:lang w:val="en-US" w:eastAsia="zh-CN"/>
              </w:rPr>
            </w:pPr>
            <w:r>
              <w:rPr>
                <w:rFonts w:ascii="宋体" w:cs="宋体"/>
                <w:kern w:val="0"/>
                <w:szCs w:val="21"/>
              </w:rPr>
              <w:t>指不明原因的肺动脉压力持续性增高，进行性发展而导致的慢性疾病，已经造成永久不可逆性的体力活动能力受限，达到</w:t>
            </w:r>
            <w:r>
              <w:rPr>
                <w:rFonts w:ascii="黑体" w:hAnsi="黑体" w:eastAsia="黑体" w:cs="宋体"/>
                <w:b/>
                <w:kern w:val="0"/>
                <w:szCs w:val="21"/>
              </w:rPr>
              <w:t>美国纽约心脏病学会（New York Heart Association，NYHA）心功能状态分级</w:t>
            </w:r>
            <w:r>
              <w:rPr>
                <w:rStyle w:val="23"/>
                <w:rFonts w:ascii="黑体" w:hAnsi="黑体" w:eastAsia="黑体" w:cs="宋体"/>
                <w:b/>
                <w:kern w:val="0"/>
                <w:szCs w:val="21"/>
              </w:rPr>
              <w:footnoteReference w:id="39"/>
            </w:r>
            <w:r>
              <w:rPr>
                <w:rFonts w:ascii="宋体" w:cs="宋体"/>
                <w:kern w:val="0"/>
                <w:szCs w:val="21"/>
              </w:rPr>
              <w:t>IV级，且静息状态下肺动脉平均压在36mmHg（含）以上。</w:t>
            </w:r>
          </w:p>
        </w:tc>
      </w:tr>
      <w:tr w14:paraId="30AD99CD">
        <w:tblPrEx>
          <w:tblCellMar>
            <w:top w:w="0" w:type="dxa"/>
            <w:left w:w="108" w:type="dxa"/>
            <w:bottom w:w="0" w:type="dxa"/>
            <w:right w:w="108" w:type="dxa"/>
          </w:tblCellMar>
        </w:tblPrEx>
        <w:tc>
          <w:tcPr>
            <w:tcW w:w="485" w:type="pct"/>
          </w:tcPr>
          <w:p w14:paraId="1E8ED66D">
            <w:pPr>
              <w:autoSpaceDE w:val="0"/>
              <w:autoSpaceDN w:val="0"/>
              <w:adjustRightInd w:val="0"/>
              <w:jc w:val="left"/>
              <w:rPr>
                <w:rFonts w:ascii="宋体" w:cs="宋体"/>
                <w:kern w:val="0"/>
                <w:szCs w:val="21"/>
              </w:rPr>
            </w:pPr>
          </w:p>
        </w:tc>
        <w:tc>
          <w:tcPr>
            <w:tcW w:w="955" w:type="pct"/>
          </w:tcPr>
          <w:p w14:paraId="53366773">
            <w:pPr>
              <w:spacing w:line="320" w:lineRule="exact"/>
              <w:jc w:val="left"/>
              <w:rPr>
                <w:rFonts w:hint="eastAsia" w:ascii="华文新魏" w:hAnsi="宋体" w:eastAsia="华文新魏"/>
                <w:b/>
                <w:bCs/>
                <w:iCs/>
                <w:sz w:val="24"/>
                <w:szCs w:val="24"/>
              </w:rPr>
            </w:pPr>
          </w:p>
        </w:tc>
        <w:tc>
          <w:tcPr>
            <w:tcW w:w="3559" w:type="pct"/>
          </w:tcPr>
          <w:p w14:paraId="48B00F27">
            <w:pPr>
              <w:autoSpaceDE w:val="0"/>
              <w:autoSpaceDN w:val="0"/>
              <w:adjustRightInd w:val="0"/>
              <w:rPr>
                <w:rFonts w:hint="default" w:ascii="宋体" w:cs="宋体"/>
                <w:kern w:val="0"/>
                <w:szCs w:val="21"/>
                <w:lang w:val="en-US" w:eastAsia="zh-CN"/>
              </w:rPr>
            </w:pPr>
          </w:p>
        </w:tc>
      </w:tr>
      <w:tr w14:paraId="77142FF7">
        <w:tblPrEx>
          <w:tblCellMar>
            <w:top w:w="0" w:type="dxa"/>
            <w:left w:w="108" w:type="dxa"/>
            <w:bottom w:w="0" w:type="dxa"/>
            <w:right w:w="108" w:type="dxa"/>
          </w:tblCellMar>
        </w:tblPrEx>
        <w:tc>
          <w:tcPr>
            <w:tcW w:w="485" w:type="pct"/>
          </w:tcPr>
          <w:p w14:paraId="546E89AB">
            <w:pPr>
              <w:autoSpaceDE w:val="0"/>
              <w:autoSpaceDN w:val="0"/>
              <w:adjustRightInd w:val="0"/>
              <w:jc w:val="left"/>
              <w:rPr>
                <w:rFonts w:ascii="宋体" w:cs="宋体"/>
                <w:kern w:val="0"/>
                <w:szCs w:val="21"/>
              </w:rPr>
            </w:pPr>
          </w:p>
        </w:tc>
        <w:tc>
          <w:tcPr>
            <w:tcW w:w="955" w:type="pct"/>
          </w:tcPr>
          <w:p w14:paraId="52D366D6">
            <w:pPr>
              <w:spacing w:line="320" w:lineRule="exact"/>
              <w:jc w:val="left"/>
              <w:rPr>
                <w:rFonts w:hint="eastAsia" w:ascii="华文新魏" w:hAnsi="宋体" w:eastAsia="华文新魏"/>
                <w:b/>
                <w:bCs/>
                <w:iCs/>
                <w:sz w:val="24"/>
                <w:szCs w:val="24"/>
                <w:lang w:eastAsia="zh-CN"/>
              </w:rPr>
            </w:pPr>
            <w:r>
              <w:rPr>
                <w:rFonts w:hint="eastAsia" w:ascii="华文新魏" w:hAnsi="宋体" w:eastAsia="华文新魏"/>
                <w:b/>
                <w:bCs/>
                <w:iCs/>
                <w:sz w:val="24"/>
                <w:szCs w:val="24"/>
              </w:rPr>
              <w:t>9-</w:t>
            </w:r>
            <w:r>
              <w:rPr>
                <w:rFonts w:hint="eastAsia" w:ascii="华文新魏" w:hAnsi="宋体" w:eastAsia="华文新魏"/>
                <w:b/>
                <w:bCs/>
                <w:iCs/>
                <w:sz w:val="24"/>
                <w:szCs w:val="24"/>
                <w:lang w:val="en-US" w:eastAsia="zh-CN"/>
              </w:rPr>
              <w:t>瘫痪</w:t>
            </w:r>
          </w:p>
        </w:tc>
        <w:tc>
          <w:tcPr>
            <w:tcW w:w="3559" w:type="pct"/>
          </w:tcPr>
          <w:p w14:paraId="6BE9999A">
            <w:pPr>
              <w:autoSpaceDE w:val="0"/>
              <w:autoSpaceDN w:val="0"/>
              <w:adjustRightInd w:val="0"/>
              <w:rPr>
                <w:rFonts w:hint="default" w:ascii="宋体" w:cs="宋体"/>
                <w:kern w:val="0"/>
                <w:szCs w:val="21"/>
                <w:lang w:val="en-US" w:eastAsia="zh-CN"/>
              </w:rPr>
            </w:pPr>
            <w:r>
              <w:rPr>
                <w:rFonts w:ascii="宋体" w:cs="宋体"/>
                <w:kern w:val="0"/>
                <w:szCs w:val="21"/>
              </w:rPr>
              <w:t>指因疾病或意外伤害导致两肢或两肢以上肢体随意运动功能永久完全丧失。肢体随意运动功能永久完全丧失，指疾病确诊180天后或意外伤害发生180天后，每肢三大关节中的两大关节仍然完全僵硬，或肢体肌力在2级（含）以下。</w:t>
            </w:r>
          </w:p>
        </w:tc>
      </w:tr>
      <w:tr w14:paraId="1C2F94AD">
        <w:tblPrEx>
          <w:tblCellMar>
            <w:top w:w="0" w:type="dxa"/>
            <w:left w:w="108" w:type="dxa"/>
            <w:bottom w:w="0" w:type="dxa"/>
            <w:right w:w="108" w:type="dxa"/>
          </w:tblCellMar>
        </w:tblPrEx>
        <w:tc>
          <w:tcPr>
            <w:tcW w:w="485" w:type="pct"/>
          </w:tcPr>
          <w:p w14:paraId="2797ADEE">
            <w:pPr>
              <w:autoSpaceDE w:val="0"/>
              <w:autoSpaceDN w:val="0"/>
              <w:adjustRightInd w:val="0"/>
              <w:jc w:val="left"/>
              <w:rPr>
                <w:rFonts w:ascii="宋体" w:cs="宋体"/>
                <w:kern w:val="0"/>
                <w:szCs w:val="21"/>
              </w:rPr>
            </w:pPr>
          </w:p>
        </w:tc>
        <w:tc>
          <w:tcPr>
            <w:tcW w:w="955" w:type="pct"/>
          </w:tcPr>
          <w:p w14:paraId="794C958C">
            <w:pPr>
              <w:spacing w:line="320" w:lineRule="exact"/>
              <w:jc w:val="left"/>
              <w:rPr>
                <w:rFonts w:hint="eastAsia" w:ascii="华文新魏" w:hAnsi="宋体" w:eastAsia="华文新魏"/>
                <w:b/>
                <w:bCs/>
                <w:iCs/>
                <w:sz w:val="24"/>
                <w:szCs w:val="24"/>
              </w:rPr>
            </w:pPr>
          </w:p>
        </w:tc>
        <w:tc>
          <w:tcPr>
            <w:tcW w:w="3559" w:type="pct"/>
          </w:tcPr>
          <w:p w14:paraId="76E9791E">
            <w:pPr>
              <w:autoSpaceDE w:val="0"/>
              <w:autoSpaceDN w:val="0"/>
              <w:adjustRightInd w:val="0"/>
              <w:rPr>
                <w:rFonts w:hint="default" w:ascii="宋体" w:cs="宋体"/>
                <w:kern w:val="0"/>
                <w:szCs w:val="21"/>
                <w:lang w:val="en-US" w:eastAsia="zh-CN"/>
              </w:rPr>
            </w:pPr>
          </w:p>
        </w:tc>
      </w:tr>
      <w:tr w14:paraId="763034E3">
        <w:tblPrEx>
          <w:tblCellMar>
            <w:top w:w="0" w:type="dxa"/>
            <w:left w:w="108" w:type="dxa"/>
            <w:bottom w:w="0" w:type="dxa"/>
            <w:right w:w="108" w:type="dxa"/>
          </w:tblCellMar>
        </w:tblPrEx>
        <w:tc>
          <w:tcPr>
            <w:tcW w:w="485" w:type="pct"/>
          </w:tcPr>
          <w:p w14:paraId="0A07D3BB">
            <w:pPr>
              <w:autoSpaceDE w:val="0"/>
              <w:autoSpaceDN w:val="0"/>
              <w:adjustRightInd w:val="0"/>
              <w:jc w:val="left"/>
              <w:rPr>
                <w:rFonts w:ascii="宋体" w:cs="宋体"/>
                <w:kern w:val="0"/>
                <w:szCs w:val="21"/>
              </w:rPr>
            </w:pPr>
          </w:p>
        </w:tc>
        <w:tc>
          <w:tcPr>
            <w:tcW w:w="955" w:type="pct"/>
          </w:tcPr>
          <w:p w14:paraId="0315EFA9">
            <w:pPr>
              <w:spacing w:line="320" w:lineRule="exact"/>
              <w:jc w:val="left"/>
              <w:rPr>
                <w:rFonts w:hint="default" w:ascii="华文新魏" w:hAnsi="宋体" w:eastAsia="华文新魏"/>
                <w:b/>
                <w:bCs/>
                <w:iCs/>
                <w:sz w:val="24"/>
                <w:szCs w:val="24"/>
                <w:lang w:val="en-US" w:eastAsia="zh-CN"/>
              </w:rPr>
            </w:pPr>
            <w:r>
              <w:rPr>
                <w:rFonts w:hint="eastAsia" w:ascii="华文新魏" w:hAnsi="宋体" w:eastAsia="华文新魏"/>
                <w:b/>
                <w:bCs/>
                <w:iCs/>
                <w:sz w:val="24"/>
                <w:szCs w:val="24"/>
              </w:rPr>
              <w:t>10-</w:t>
            </w:r>
            <w:r>
              <w:rPr>
                <w:rFonts w:ascii="华文新魏" w:hAnsi="宋体" w:eastAsia="华文新魏"/>
                <w:b/>
                <w:bCs/>
                <w:iCs/>
                <w:sz w:val="24"/>
                <w:szCs w:val="24"/>
              </w:rPr>
              <w:t>严重</w:t>
            </w:r>
            <w:r>
              <w:rPr>
                <w:rFonts w:hint="eastAsia" w:ascii="华文新魏" w:hAnsi="宋体" w:eastAsia="华文新魏"/>
                <w:b/>
                <w:bCs/>
                <w:iCs/>
                <w:sz w:val="24"/>
                <w:szCs w:val="24"/>
                <w:lang w:val="en-US" w:eastAsia="zh-CN"/>
              </w:rPr>
              <w:t>运动神经元病</w:t>
            </w:r>
          </w:p>
        </w:tc>
        <w:tc>
          <w:tcPr>
            <w:tcW w:w="3559" w:type="pct"/>
          </w:tcPr>
          <w:p w14:paraId="11B0381F">
            <w:pPr>
              <w:autoSpaceDE w:val="0"/>
              <w:autoSpaceDN w:val="0"/>
              <w:adjustRightInd w:val="0"/>
              <w:jc w:val="left"/>
              <w:rPr>
                <w:rFonts w:ascii="宋体" w:cs="宋体"/>
                <w:kern w:val="0"/>
                <w:szCs w:val="21"/>
              </w:rPr>
            </w:pPr>
            <w:r>
              <w:rPr>
                <w:rFonts w:ascii="宋体" w:cs="宋体"/>
                <w:kern w:val="0"/>
                <w:szCs w:val="21"/>
              </w:rPr>
              <w:t>是一组中枢神经系统运动神经元的进行性变性疾病，包括进行性脊肌萎缩症、进行性延髓麻痹症、原发性侧索硬化症、肌萎缩性侧索硬化症,经相关专科医生确诊，且须满足下列至少一项条件：</w:t>
            </w:r>
          </w:p>
          <w:p w14:paraId="69133F0F">
            <w:pPr>
              <w:autoSpaceDE w:val="0"/>
              <w:autoSpaceDN w:val="0"/>
              <w:adjustRightInd w:val="0"/>
              <w:jc w:val="left"/>
              <w:rPr>
                <w:rFonts w:ascii="宋体" w:cs="宋体"/>
                <w:kern w:val="0"/>
                <w:szCs w:val="21"/>
              </w:rPr>
            </w:pPr>
            <w:r>
              <w:rPr>
                <w:rFonts w:ascii="宋体" w:cs="宋体"/>
                <w:kern w:val="0"/>
                <w:szCs w:val="21"/>
              </w:rPr>
              <w:t>（1）严重咀嚼吞咽功能障碍；</w:t>
            </w:r>
          </w:p>
          <w:p w14:paraId="0D1F9087">
            <w:pPr>
              <w:autoSpaceDE w:val="0"/>
              <w:autoSpaceDN w:val="0"/>
              <w:adjustRightInd w:val="0"/>
              <w:jc w:val="left"/>
              <w:rPr>
                <w:rFonts w:ascii="宋体" w:cs="宋体"/>
                <w:kern w:val="0"/>
                <w:szCs w:val="21"/>
              </w:rPr>
            </w:pPr>
            <w:r>
              <w:rPr>
                <w:rFonts w:ascii="宋体" w:cs="宋体"/>
                <w:kern w:val="0"/>
                <w:szCs w:val="21"/>
              </w:rPr>
              <w:t>（2）呼吸肌麻痹导致严重呼吸困难，且已经持续使用呼吸机7天（含）以上；</w:t>
            </w:r>
          </w:p>
          <w:p w14:paraId="5FB7B5E2">
            <w:pPr>
              <w:autoSpaceDE w:val="0"/>
              <w:autoSpaceDN w:val="0"/>
              <w:adjustRightInd w:val="0"/>
              <w:rPr>
                <w:rFonts w:hint="default" w:ascii="宋体" w:cs="宋体"/>
                <w:kern w:val="0"/>
                <w:szCs w:val="21"/>
                <w:lang w:val="en-US" w:eastAsia="zh-CN"/>
              </w:rPr>
            </w:pPr>
            <w:r>
              <w:rPr>
                <w:rFonts w:ascii="宋体" w:cs="宋体"/>
                <w:kern w:val="0"/>
                <w:szCs w:val="21"/>
              </w:rPr>
              <w:t>（3）自主生活能力完全丧失，无法独立完成六项基本日常生活活动中的三项或三项以上。</w:t>
            </w:r>
          </w:p>
        </w:tc>
      </w:tr>
    </w:tbl>
    <w:p w14:paraId="01116562">
      <w:pPr>
        <w:widowControl/>
        <w:jc w:val="left"/>
        <w:rPr>
          <w:rFonts w:ascii="宋体" w:hAnsi="宋体"/>
          <w:b/>
          <w:sz w:val="28"/>
          <w:szCs w:val="28"/>
        </w:rPr>
      </w:pPr>
    </w:p>
    <w:sectPr>
      <w:footerReference r:id="rId4" w:type="default"/>
      <w:footerReference r:id="rId5" w:type="even"/>
      <w:pgSz w:w="11906" w:h="16838"/>
      <w:pgMar w:top="1418" w:right="1021" w:bottom="1134" w:left="1021" w:header="567" w:footer="454"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C25F">
    <w:pPr>
      <w:pStyle w:val="8"/>
      <w:ind w:right="210" w:rightChars="100"/>
      <w:jc w:val="center"/>
      <w:rPr>
        <w:rFonts w:asciiTheme="minorEastAsia" w:hAnsiTheme="minorEastAsia" w:eastAsiaTheme="minorEastAsi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0C27">
    <w:pPr>
      <w:pStyle w:val="8"/>
      <w:ind w:left="210" w:leftChars="100"/>
      <w:rPr>
        <w:rFonts w:asciiTheme="minorEastAsia" w:hAnsiTheme="minorEastAsia" w:eastAsiaTheme="minorEastAs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r>
        <w:separator/>
      </w:r>
    </w:p>
  </w:footnote>
  <w:footnote w:type="continuationSeparator" w:id="81">
    <w:p>
      <w:r>
        <w:continuationSeparator/>
      </w:r>
    </w:p>
  </w:footnote>
  <w:footnote w:id="0">
    <w:p w14:paraId="00928444">
      <w:pPr>
        <w:pStyle w:val="10"/>
        <w:spacing w:after="0" w:line="280" w:lineRule="exact"/>
        <w:ind w:left="181" w:hanging="181" w:hangingChars="100"/>
      </w:pPr>
      <w:r>
        <w:rPr>
          <w:rStyle w:val="23"/>
          <w:rFonts w:hint="eastAsia" w:ascii="楷体_GB2312" w:eastAsia="楷体_GB2312"/>
          <w:b/>
        </w:rPr>
        <w:footnoteRef/>
      </w:r>
      <w:r>
        <w:rPr>
          <w:rFonts w:hint="eastAsia" w:ascii="楷体_GB2312" w:eastAsia="楷体_GB2312"/>
          <w:b/>
        </w:rPr>
        <w:t>周岁</w:t>
      </w:r>
      <w:r>
        <w:rPr>
          <w:rFonts w:hint="eastAsia" w:ascii="楷体_GB2312" w:hAnsi="宋体" w:eastAsia="楷体_GB2312"/>
        </w:rPr>
        <w:t>指按有效身份证件中记载的出生日期计算的年龄，自出生之日起为零周岁，每经过一年增加一岁，不足一年的不计。</w:t>
      </w:r>
    </w:p>
  </w:footnote>
  <w:footnote w:id="1">
    <w:p w14:paraId="0FE8CB5F">
      <w:pPr>
        <w:pStyle w:val="10"/>
        <w:spacing w:after="0" w:line="220" w:lineRule="atLeast"/>
        <w:contextualSpacing/>
        <w:rPr>
          <w:rFonts w:ascii="楷体_GB2312" w:hAnsi="宋体" w:eastAsia="楷体_GB2312"/>
        </w:rPr>
      </w:pPr>
      <w:r>
        <w:rPr>
          <w:rStyle w:val="23"/>
          <w:rFonts w:ascii="楷体_GB2312" w:eastAsia="楷体_GB2312"/>
          <w:b/>
        </w:rPr>
        <w:footnoteRef/>
      </w:r>
      <w:r>
        <w:rPr>
          <w:rFonts w:hint="eastAsia" w:ascii="楷体_GB2312" w:hAnsi="宋体" w:eastAsia="楷体_GB2312"/>
          <w:b/>
        </w:rPr>
        <w:t>保险事故</w:t>
      </w:r>
      <w:r>
        <w:rPr>
          <w:rFonts w:hint="eastAsia" w:ascii="楷体_GB2312" w:hAnsi="宋体" w:eastAsia="楷体_GB2312"/>
        </w:rPr>
        <w:t>指本主险合同保险责任范围内的事件。</w:t>
      </w:r>
    </w:p>
  </w:footnote>
  <w:footnote w:id="2">
    <w:p w14:paraId="27827CE9">
      <w:pPr>
        <w:pStyle w:val="10"/>
        <w:spacing w:after="0" w:line="220" w:lineRule="atLeast"/>
        <w:contextualSpacing/>
        <w:rPr>
          <w:rFonts w:ascii="楷体_GB2312" w:eastAsia="楷体_GB2312" w:hAnsiTheme="minorEastAsia"/>
        </w:rPr>
      </w:pPr>
      <w:r>
        <w:rPr>
          <w:rStyle w:val="23"/>
          <w:rFonts w:hint="default" w:ascii="黑体" w:hAnsi="黑体" w:eastAsia="黑体"/>
          <w:b/>
        </w:rPr>
        <w:footnoteRef/>
      </w:r>
      <w:r>
        <w:rPr>
          <w:rFonts w:hint="eastAsia" w:ascii="楷体_GB2312" w:eastAsia="楷体_GB2312" w:hAnsiTheme="minorEastAsia"/>
          <w:b/>
        </w:rPr>
        <w:t>意外伤害</w:t>
      </w:r>
      <w:r>
        <w:rPr>
          <w:rFonts w:hint="eastAsia" w:ascii="楷体_GB2312" w:eastAsia="楷体_GB2312" w:hAnsiTheme="minorEastAsia"/>
        </w:rPr>
        <w:t>指遭受外来的、突发的、非本意的、非疾病的使身体受到伤害的客观事件。</w:t>
      </w:r>
    </w:p>
  </w:footnote>
  <w:footnote w:id="3">
    <w:p w14:paraId="30F730A9">
      <w:pPr>
        <w:pStyle w:val="10"/>
        <w:spacing w:after="0" w:line="220" w:lineRule="atLeast"/>
        <w:jc w:val="both"/>
        <w:rPr>
          <w:shd w:val="clear" w:color="auto" w:fill="auto"/>
        </w:rPr>
      </w:pPr>
      <w:r>
        <w:rPr>
          <w:rStyle w:val="23"/>
          <w:rFonts w:ascii="黑体" w:hAnsi="黑体" w:eastAsia="黑体"/>
          <w:b/>
        </w:rPr>
        <w:footnoteRef/>
      </w:r>
      <w:r>
        <w:rPr>
          <w:rFonts w:hint="eastAsia" w:ascii="楷体_GB2312" w:hAnsi="宋体" w:eastAsia="楷体_GB2312"/>
          <w:b/>
        </w:rPr>
        <w:t>医院</w:t>
      </w:r>
      <w:r>
        <w:rPr>
          <w:rFonts w:hint="eastAsia" w:ascii="楷体_GB2312" w:eastAsia="楷体_GB2312"/>
        </w:rPr>
        <w:t>指中华人民共和国境内（</w:t>
      </w:r>
      <w:r>
        <w:rPr>
          <w:rFonts w:hint="eastAsia" w:ascii="楷体_GB2312" w:eastAsia="楷体_GB2312"/>
          <w:shd w:val="pct10" w:color="auto" w:fill="FFFFFF"/>
        </w:rPr>
        <w:t>除香港、澳门及台湾地区</w:t>
      </w:r>
      <w:r>
        <w:rPr>
          <w:rFonts w:hint="eastAsia" w:ascii="楷体_GB2312" w:eastAsia="楷体_GB2312"/>
        </w:rPr>
        <w:t>）合法经营的二级以上（含二级）属事业单位性质的公立医院</w:t>
      </w:r>
      <w:r>
        <w:rPr>
          <w:rFonts w:hint="eastAsia" w:ascii="楷体_GB2312" w:eastAsia="楷体_GB2312"/>
          <w:lang w:eastAsia="zh-CN"/>
        </w:rPr>
        <w:t>，</w:t>
      </w:r>
      <w:r>
        <w:rPr>
          <w:rFonts w:hint="eastAsia" w:ascii="楷体_GB2312" w:eastAsia="楷体_GB2312"/>
          <w:shd w:val="clear" w:color="FFFFFF" w:fill="D9D9D9"/>
        </w:rPr>
        <w:t>不包括疗养院、护理院、以康复治疗为主要职能的医疗机构（如康复医院）、戒酒或戒毒中心、精神心理治疗中心以及无相应医护人员或设备的二级或三级医院的联合医院或联合病房以及</w:t>
      </w:r>
      <w:r>
        <w:rPr>
          <w:rFonts w:hint="eastAsia" w:ascii="楷体_GB2312" w:eastAsia="楷体_GB2312"/>
          <w:b/>
          <w:bCs/>
          <w:shd w:val="clear" w:color="FFFFFF" w:fill="D9D9D9"/>
        </w:rPr>
        <w:t>其他我们不承担保险责任的医院（具体以保险合同约定为准）</w:t>
      </w:r>
      <w:r>
        <w:rPr>
          <w:rFonts w:hint="eastAsia" w:ascii="楷体_GB2312" w:eastAsia="楷体_GB2312"/>
          <w:shd w:val="clear" w:color="FFFFFF" w:fill="D9D9D9"/>
        </w:rPr>
        <w:t>。</w:t>
      </w:r>
    </w:p>
  </w:footnote>
  <w:footnote w:id="4">
    <w:p w14:paraId="2FC06E57">
      <w:pPr>
        <w:pStyle w:val="10"/>
        <w:spacing w:after="0" w:line="200" w:lineRule="atLeast"/>
        <w:jc w:val="both"/>
        <w:rPr>
          <w:rFonts w:ascii="楷体_GB2312" w:eastAsia="楷体_GB2312"/>
        </w:rPr>
      </w:pPr>
      <w:r>
        <w:rPr>
          <w:rStyle w:val="23"/>
          <w:rFonts w:hint="eastAsia" w:ascii="楷体_GB2312" w:hAnsi="黑体" w:eastAsia="楷体_GB2312"/>
          <w:b/>
        </w:rPr>
        <w:footnoteRef/>
      </w:r>
      <w:r>
        <w:rPr>
          <w:rFonts w:hint="eastAsia" w:ascii="楷体_GB2312" w:hAnsi="宋体" w:eastAsia="楷体_GB2312"/>
          <w:b/>
        </w:rPr>
        <w:t>专科医生</w:t>
      </w:r>
      <w:r>
        <w:rPr>
          <w:rFonts w:hint="eastAsia" w:ascii="楷体_GB2312" w:eastAsia="楷体_GB2312"/>
        </w:rPr>
        <w:t>指应当同时满足以下四项资格条件：</w:t>
      </w:r>
    </w:p>
    <w:p w14:paraId="3540AE89">
      <w:pPr>
        <w:pStyle w:val="10"/>
        <w:spacing w:after="0" w:line="200" w:lineRule="atLeast"/>
        <w:jc w:val="both"/>
        <w:rPr>
          <w:rFonts w:ascii="楷体_GB2312" w:eastAsia="楷体_GB2312"/>
        </w:rPr>
      </w:pPr>
      <w:r>
        <w:rPr>
          <w:rFonts w:ascii="楷体_GB2312" w:eastAsia="楷体_GB2312"/>
        </w:rPr>
        <w:t>(</w:t>
      </w:r>
      <w:r>
        <w:rPr>
          <w:rFonts w:hint="eastAsia" w:ascii="楷体_GB2312" w:eastAsia="楷体_GB2312"/>
        </w:rPr>
        <w:t>1)具有有效的中华人民共和国《医师资格证书》；</w:t>
      </w:r>
    </w:p>
    <w:p w14:paraId="12473813">
      <w:pPr>
        <w:pStyle w:val="10"/>
        <w:spacing w:after="0" w:line="200" w:lineRule="atLeast"/>
        <w:jc w:val="both"/>
        <w:rPr>
          <w:rFonts w:ascii="楷体_GB2312" w:eastAsia="楷体_GB2312"/>
        </w:rPr>
      </w:pPr>
      <w:r>
        <w:rPr>
          <w:rFonts w:ascii="楷体_GB2312" w:eastAsia="楷体_GB2312"/>
        </w:rPr>
        <w:t>(</w:t>
      </w:r>
      <w:r>
        <w:rPr>
          <w:rFonts w:hint="eastAsia" w:ascii="楷体_GB2312" w:eastAsia="楷体_GB2312"/>
        </w:rPr>
        <w:t>2)具有有效的中华人民共和国《医师执业证书》，并按期到相关部门登记注册；</w:t>
      </w:r>
    </w:p>
    <w:p w14:paraId="5741D873">
      <w:pPr>
        <w:pStyle w:val="10"/>
        <w:spacing w:after="0" w:line="200" w:lineRule="atLeast"/>
        <w:jc w:val="both"/>
        <w:rPr>
          <w:rFonts w:ascii="楷体_GB2312" w:eastAsia="楷体_GB2312"/>
        </w:rPr>
      </w:pPr>
      <w:r>
        <w:rPr>
          <w:rFonts w:ascii="楷体_GB2312" w:eastAsia="楷体_GB2312"/>
        </w:rPr>
        <w:t>(</w:t>
      </w:r>
      <w:r>
        <w:rPr>
          <w:rFonts w:hint="eastAsia" w:ascii="楷体_GB2312" w:eastAsia="楷体_GB2312"/>
        </w:rPr>
        <w:t>3)具有有效的中华人民共和国主治医师或主治医师以上职称的《医师职称证书》；</w:t>
      </w:r>
    </w:p>
    <w:p w14:paraId="49BF9733">
      <w:pPr>
        <w:pStyle w:val="10"/>
        <w:spacing w:after="0" w:line="200" w:lineRule="atLeast"/>
        <w:jc w:val="both"/>
        <w:rPr>
          <w:rFonts w:ascii="楷体_GB2312" w:hAnsi="宋体" w:eastAsia="楷体_GB2312"/>
          <w:b/>
        </w:rPr>
      </w:pPr>
      <w:r>
        <w:rPr>
          <w:rFonts w:ascii="楷体_GB2312" w:eastAsia="楷体_GB2312"/>
        </w:rPr>
        <w:t>(</w:t>
      </w:r>
      <w:r>
        <w:rPr>
          <w:rFonts w:hint="eastAsia" w:ascii="楷体_GB2312" w:eastAsia="楷体_GB2312"/>
        </w:rPr>
        <w:t>4)在国家《医院分级管理标准》二级或二级以上医院的相应科室从事临床工作三年以上。</w:t>
      </w:r>
    </w:p>
  </w:footnote>
  <w:footnote w:id="5">
    <w:p w14:paraId="3DA6DA58">
      <w:pPr>
        <w:pStyle w:val="2"/>
        <w:keepNext w:val="0"/>
        <w:keepLines w:val="0"/>
        <w:pageBreakBefore w:val="0"/>
        <w:widowControl w:val="0"/>
        <w:kinsoku/>
        <w:wordWrap/>
        <w:overflowPunct/>
        <w:topLinePunct w:val="0"/>
        <w:bidi w:val="0"/>
        <w:adjustRightInd/>
        <w:snapToGrid/>
        <w:spacing w:line="240" w:lineRule="exact"/>
        <w:textAlignment w:val="auto"/>
        <w:rPr>
          <w:rFonts w:hint="default" w:ascii="楷体_GB2312" w:eastAsia="楷体_GB2312"/>
          <w:shd w:val="pct15" w:color="auto" w:fill="FFFFFF"/>
          <w:lang w:val="en-US" w:eastAsia="zh-CN"/>
        </w:rPr>
      </w:pPr>
      <w:r>
        <w:rPr>
          <w:rStyle w:val="23"/>
          <w:rFonts w:ascii="黑体" w:hAnsi="黑体" w:eastAsia="黑体"/>
          <w:b/>
        </w:rPr>
        <w:footnoteRef/>
      </w:r>
      <w:r>
        <w:rPr>
          <w:rFonts w:hint="eastAsia" w:ascii="楷体_GB2312" w:hAnsi="宋体" w:eastAsia="楷体_GB2312"/>
          <w:b/>
          <w:sz w:val="18"/>
          <w:szCs w:val="21"/>
          <w:lang w:val="en-US" w:eastAsia="zh-CN"/>
        </w:rPr>
        <w:t>合同年生效对应日</w:t>
      </w:r>
      <w:r>
        <w:rPr>
          <w:rFonts w:hint="eastAsia" w:ascii="楷体_GB2312" w:eastAsia="楷体_GB2312" w:cs="Times New Roman" w:hAnsiTheme="minorEastAsia"/>
          <w:kern w:val="0"/>
          <w:sz w:val="18"/>
          <w:szCs w:val="18"/>
          <w:lang w:val="zh-CN" w:eastAsia="zh-CN" w:bidi="ar-SA"/>
        </w:rPr>
        <w:t>指</w:t>
      </w:r>
      <w:r>
        <w:rPr>
          <w:rFonts w:hint="eastAsia" w:ascii="楷体_GB2312" w:eastAsia="楷体_GB2312" w:cs="Times New Roman" w:hAnsiTheme="minorEastAsia"/>
          <w:kern w:val="0"/>
          <w:sz w:val="18"/>
          <w:szCs w:val="18"/>
          <w:lang w:val="en-US" w:eastAsia="zh-CN" w:bidi="ar-SA"/>
        </w:rPr>
        <w:t>合同生效日在之后每年的对应日，若当月没有对应的同一日，则以该月最后一日为对应日。</w:t>
      </w:r>
    </w:p>
  </w:footnote>
  <w:footnote w:id="6">
    <w:p w14:paraId="7A8A83AB">
      <w:pPr>
        <w:pStyle w:val="2"/>
        <w:keepNext w:val="0"/>
        <w:keepLines w:val="0"/>
        <w:pageBreakBefore w:val="0"/>
        <w:widowControl w:val="0"/>
        <w:kinsoku/>
        <w:wordWrap/>
        <w:overflowPunct/>
        <w:topLinePunct w:val="0"/>
        <w:bidi w:val="0"/>
        <w:adjustRightInd/>
        <w:snapToGrid/>
        <w:spacing w:line="240" w:lineRule="exact"/>
        <w:textAlignment w:val="auto"/>
        <w:rPr>
          <w:rFonts w:hint="default" w:ascii="楷体_GB2312" w:eastAsia="楷体_GB2312"/>
          <w:shd w:val="pct15" w:color="auto" w:fill="FFFFFF"/>
          <w:lang w:val="en-US" w:eastAsia="zh-CN"/>
        </w:rPr>
      </w:pPr>
      <w:r>
        <w:rPr>
          <w:rStyle w:val="23"/>
          <w:rFonts w:ascii="黑体" w:hAnsi="黑体" w:eastAsia="黑体"/>
          <w:b/>
        </w:rPr>
        <w:footnoteRef/>
      </w:r>
      <w:r>
        <w:rPr>
          <w:rFonts w:hint="eastAsia" w:ascii="楷体_GB2312" w:hAnsi="宋体" w:eastAsia="楷体_GB2312"/>
          <w:b/>
          <w:sz w:val="18"/>
          <w:szCs w:val="21"/>
          <w:lang w:val="en-US" w:eastAsia="zh-CN"/>
        </w:rPr>
        <w:t>已交保险费</w:t>
      </w:r>
      <w:r>
        <w:rPr>
          <w:rFonts w:hint="eastAsia" w:ascii="楷体_GB2312" w:hAnsi="Tahoma" w:eastAsia="楷体_GB2312" w:cs="Times New Roman"/>
          <w:kern w:val="0"/>
          <w:sz w:val="18"/>
          <w:szCs w:val="18"/>
          <w:lang w:val="en-US" w:eastAsia="zh-CN" w:bidi="ar-SA"/>
        </w:rPr>
        <w:t>指按照被保险人发生本合同约定的保险事故时，年交保险费乘以保单年度数（交费期满后为交费年度数）计算。</w:t>
      </w:r>
      <w:bookmarkStart w:id="0" w:name="_GoBack"/>
      <w:bookmarkEnd w:id="0"/>
    </w:p>
  </w:footnote>
  <w:footnote w:id="7">
    <w:p w14:paraId="048D5132">
      <w:pPr>
        <w:pStyle w:val="10"/>
        <w:spacing w:after="0" w:line="220" w:lineRule="atLeast"/>
        <w:rPr>
          <w:rFonts w:ascii="楷体_GB2312" w:hAnsi="宋体" w:eastAsia="楷体_GB2312"/>
          <w:lang w:eastAsia="zh-CN"/>
        </w:rPr>
      </w:pPr>
      <w:r>
        <w:rPr>
          <w:rStyle w:val="23"/>
          <w:rFonts w:ascii="楷体_GB2312" w:eastAsia="楷体_GB2312"/>
          <w:b/>
        </w:rPr>
        <w:footnoteRef/>
      </w:r>
      <w:r>
        <w:rPr>
          <w:rFonts w:hint="eastAsia" w:ascii="楷体_GB2312" w:hAnsi="宋体" w:eastAsia="楷体_GB2312"/>
          <w:b/>
          <w:lang w:eastAsia="zh-CN"/>
        </w:rPr>
        <w:t>现金价值</w:t>
      </w:r>
      <w:r>
        <w:rPr>
          <w:rFonts w:hint="eastAsia" w:ascii="楷体_GB2312" w:hAnsi="宋体" w:eastAsia="楷体_GB2312"/>
          <w:lang w:eastAsia="zh-CN"/>
        </w:rPr>
        <w:t>指保险合同所具有的价值。通常体现为解除保险合同时，我们所退还的那部分金额。本主险合同各保单年度末的现金价值会在保险单上载明，保单年度内的现金价值您可以向我们咨询。</w:t>
      </w:r>
    </w:p>
  </w:footnote>
  <w:footnote w:id="8">
    <w:p w14:paraId="2A049A46">
      <w:pPr>
        <w:pStyle w:val="10"/>
        <w:snapToGrid w:val="0"/>
        <w:spacing w:after="0" w:line="0" w:lineRule="atLeast"/>
        <w:rPr>
          <w:rFonts w:hint="eastAsia" w:ascii="楷体_GB2312" w:hAnsi="宋体" w:eastAsia="楷体_GB2312"/>
        </w:rPr>
      </w:pPr>
      <w:r>
        <w:rPr>
          <w:rStyle w:val="23"/>
          <w:rFonts w:ascii="楷体_GB2312" w:hAnsi="Times New Roman" w:eastAsia="楷体_GB2312"/>
          <w:b/>
        </w:rPr>
        <w:footnoteRef/>
      </w:r>
      <w:r>
        <w:rPr>
          <w:rFonts w:hint="eastAsia" w:ascii="楷体_GB2312" w:hAnsi="宋体" w:eastAsia="楷体_GB2312" w:cs="Times New Roman"/>
          <w:b/>
          <w:sz w:val="18"/>
          <w:szCs w:val="18"/>
          <w:lang w:val="en-US"/>
        </w:rPr>
        <w:t>健康检查费用</w:t>
      </w:r>
      <w:r>
        <w:rPr>
          <w:rFonts w:hint="eastAsia" w:ascii="楷体_GB2312" w:hAnsi="宋体" w:eastAsia="楷体_GB2312" w:cs="Times New Roman"/>
          <w:sz w:val="18"/>
          <w:szCs w:val="18"/>
          <w:lang w:val="en-US" w:eastAsia="zh-CN"/>
        </w:rPr>
        <w:t>指</w:t>
      </w:r>
      <w:r>
        <w:rPr>
          <w:rFonts w:hint="eastAsia" w:ascii="楷体_GB2312" w:hAnsi="宋体" w:eastAsia="楷体_GB2312" w:cs="Times New Roman"/>
          <w:sz w:val="18"/>
          <w:szCs w:val="18"/>
        </w:rPr>
        <w:t>被保险人全身体检费以及相关检查化验费，免疫费，常规检查化验费。</w:t>
      </w:r>
    </w:p>
  </w:footnote>
  <w:footnote w:id="9">
    <w:p w14:paraId="1696E7CB">
      <w:pPr>
        <w:spacing w:line="0" w:lineRule="atLeast"/>
        <w:rPr>
          <w:rFonts w:hint="eastAsia" w:ascii="楷体_GB2312" w:hAnsi="宋体" w:eastAsia="楷体_GB2312"/>
        </w:rPr>
      </w:pPr>
      <w:r>
        <w:rPr>
          <w:rStyle w:val="23"/>
          <w:rFonts w:ascii="楷体_GB2312" w:hAnsi="Times New Roman" w:eastAsia="楷体_GB2312"/>
          <w:b/>
        </w:rPr>
        <w:footnoteRef/>
      </w:r>
      <w:r>
        <w:rPr>
          <w:rFonts w:hint="eastAsia" w:ascii="楷体_GB2312" w:hAnsi="宋体" w:eastAsia="楷体_GB2312"/>
          <w:b/>
          <w:bCs w:val="0"/>
          <w:kern w:val="0"/>
          <w:sz w:val="18"/>
          <w:szCs w:val="18"/>
          <w:lang w:val="en-US" w:eastAsia="zh-CN"/>
        </w:rPr>
        <w:t>健康管理服务</w:t>
      </w:r>
      <w:r>
        <w:rPr>
          <w:rFonts w:hint="eastAsia" w:ascii="楷体_GB2312" w:hAnsi="宋体" w:eastAsia="楷体_GB2312" w:cs="Times New Roman"/>
          <w:sz w:val="18"/>
          <w:szCs w:val="18"/>
          <w:lang w:val="en-US" w:eastAsia="zh-CN"/>
        </w:rPr>
        <w:t>指根据中国保险行业协会和中国健康管理协会2021年9月发布的《保险业健康管理标准体系建设指南》规定的行业服务项目应用标准，将保险业健康管理服务分为</w:t>
      </w:r>
      <w:r>
        <w:rPr>
          <w:rFonts w:hint="eastAsia" w:ascii="楷体_GB2312" w:hAnsi="宋体" w:eastAsia="楷体_GB2312" w:cs="Times New Roman"/>
          <w:kern w:val="2"/>
          <w:sz w:val="18"/>
          <w:szCs w:val="18"/>
          <w:lang w:val="en-US" w:eastAsia="zh-CN" w:bidi="ar"/>
        </w:rPr>
        <w:t>健康体检、健康咨询、健康促进、疾病预防、慢病管理、就医服务、康复护理</w:t>
      </w:r>
      <w:r>
        <w:rPr>
          <w:rFonts w:hint="eastAsia" w:ascii="楷体_GB2312" w:hAnsi="宋体" w:eastAsia="楷体_GB2312" w:cs="Times New Roman"/>
          <w:sz w:val="18"/>
          <w:szCs w:val="18"/>
          <w:lang w:val="en-US" w:eastAsia="zh-CN"/>
        </w:rPr>
        <w:t>七大类</w:t>
      </w:r>
      <w:r>
        <w:rPr>
          <w:rFonts w:hint="eastAsia" w:ascii="楷体_GB2312" w:hAnsi="宋体" w:eastAsia="楷体_GB2312" w:cs="Times New Roman"/>
          <w:sz w:val="18"/>
          <w:szCs w:val="18"/>
        </w:rPr>
        <w:t>。</w:t>
      </w:r>
    </w:p>
  </w:footnote>
  <w:footnote w:id="10">
    <w:p w14:paraId="4CB91D13">
      <w:pPr>
        <w:pStyle w:val="10"/>
        <w:spacing w:after="0" w:line="220" w:lineRule="atLeast"/>
        <w:jc w:val="both"/>
        <w:rPr>
          <w:shd w:val="clear" w:color="auto" w:fill="auto"/>
        </w:rPr>
      </w:pPr>
      <w:r>
        <w:rPr>
          <w:rStyle w:val="23"/>
          <w:rFonts w:ascii="黑体" w:hAnsi="黑体" w:eastAsia="黑体"/>
          <w:b/>
        </w:rPr>
        <w:footnoteRef/>
      </w:r>
      <w:r>
        <w:rPr>
          <w:rFonts w:hint="eastAsia" w:ascii="楷体_GB2312" w:hAnsi="宋体" w:eastAsia="楷体_GB2312"/>
          <w:b/>
          <w:bCs/>
          <w:lang w:val="en-US" w:eastAsia="zh-CN"/>
        </w:rPr>
        <w:t>指定</w:t>
      </w:r>
      <w:r>
        <w:rPr>
          <w:rFonts w:hint="eastAsia" w:ascii="楷体_GB2312" w:hAnsi="宋体" w:eastAsia="楷体_GB2312"/>
          <w:b/>
          <w:lang w:val="en-US" w:eastAsia="zh-CN"/>
        </w:rPr>
        <w:t>医疗机构</w:t>
      </w:r>
      <w:r>
        <w:rPr>
          <w:rFonts w:hint="eastAsia" w:ascii="楷体_GB2312" w:eastAsia="楷体_GB2312"/>
        </w:rPr>
        <w:t>指</w:t>
      </w:r>
      <w:r>
        <w:rPr>
          <w:rFonts w:hint="eastAsia" w:ascii="楷体_GB2312" w:eastAsia="楷体_GB2312"/>
          <w:lang w:val="en-US" w:eastAsia="zh-CN"/>
        </w:rPr>
        <w:t>本公司指定的医疗机构以及符合下列所有条件的医疗机构：</w:t>
      </w:r>
      <w:r>
        <w:rPr>
          <w:rFonts w:hint="eastAsia" w:ascii="楷体_GB2312" w:eastAsia="楷体_GB2312"/>
          <w:shd w:val="clear" w:color="auto" w:fill="auto"/>
          <w:lang w:val="en-US" w:eastAsia="zh-CN"/>
        </w:rPr>
        <w:t>（1）持有合法有效的《医疗机构职业许可证》或《诊所备案凭证》；（2）主要从事疾病诊断、治疗活动；（3）有常驻执业医师提供医疗服务</w:t>
      </w:r>
      <w:r>
        <w:rPr>
          <w:rFonts w:hint="eastAsia" w:ascii="楷体_GB2312" w:eastAsia="楷体_GB2312"/>
          <w:lang w:val="en-US" w:eastAsia="zh-CN"/>
        </w:rPr>
        <w:t>。</w:t>
      </w:r>
    </w:p>
  </w:footnote>
  <w:footnote w:id="11">
    <w:p w14:paraId="2EFDDED4">
      <w:pPr>
        <w:pStyle w:val="12"/>
        <w:snapToGrid w:val="0"/>
        <w:spacing w:before="0" w:beforeAutospacing="0" w:after="0" w:afterAutospacing="0" w:line="220" w:lineRule="atLeast"/>
        <w:rPr>
          <w:rFonts w:ascii="楷体_GB2312" w:hAnsi="楷体_GB2312" w:eastAsia="楷体_GB2312" w:cs="楷体_GB2312"/>
          <w:b/>
          <w:bCs/>
          <w:sz w:val="18"/>
          <w:szCs w:val="18"/>
        </w:rPr>
      </w:pPr>
      <w:r>
        <w:rPr>
          <w:rStyle w:val="23"/>
          <w:rFonts w:ascii="黑体" w:hAnsi="黑体" w:eastAsia="黑体" w:cs="Times New Roman"/>
          <w:b/>
          <w:sz w:val="18"/>
          <w:szCs w:val="18"/>
          <w:lang w:val="zh-CN"/>
        </w:rPr>
        <w:footnoteRef/>
      </w:r>
      <w:r>
        <w:rPr>
          <w:rFonts w:hint="eastAsia" w:ascii="楷体_GB2312" w:hAnsi="楷体_GB2312" w:eastAsia="楷体_GB2312" w:cs="楷体_GB2312"/>
          <w:b/>
          <w:bCs/>
          <w:sz w:val="18"/>
          <w:szCs w:val="18"/>
        </w:rPr>
        <w:t>合理且必要</w:t>
      </w:r>
      <w:r>
        <w:rPr>
          <w:rFonts w:hint="eastAsia" w:ascii="楷体_GB2312" w:hAnsi="楷体_GB2312" w:eastAsia="楷体_GB2312" w:cs="楷体_GB2312"/>
          <w:sz w:val="18"/>
          <w:szCs w:val="18"/>
        </w:rPr>
        <w:t>指</w:t>
      </w:r>
    </w:p>
    <w:p w14:paraId="7B1D592F">
      <w:pPr>
        <w:pStyle w:val="12"/>
        <w:snapToGrid w:val="0"/>
        <w:spacing w:before="0" w:beforeAutospacing="0" w:after="0" w:afterAutospacing="0" w:line="220" w:lineRule="atLeast"/>
        <w:rPr>
          <w:rFonts w:ascii="楷体_GB2312" w:eastAsia="楷体_GB2312" w:cs="Times New Roman"/>
          <w:sz w:val="18"/>
          <w:szCs w:val="18"/>
          <w:shd w:val="clear" w:color="FFFFFF" w:fill="D9D9D9"/>
          <w:lang w:val="zh-CN"/>
        </w:rPr>
      </w:pPr>
      <w:r>
        <w:rPr>
          <w:rFonts w:hint="eastAsia" w:ascii="楷体_GB2312" w:eastAsia="楷体_GB2312" w:cs="Times New Roman"/>
          <w:sz w:val="18"/>
          <w:szCs w:val="18"/>
          <w:shd w:val="clear" w:color="FFFFFF" w:fill="D9D9D9"/>
          <w:lang w:val="zh-CN"/>
        </w:rPr>
        <w:t>（一）</w:t>
      </w:r>
      <w:r>
        <w:rPr>
          <w:rFonts w:hint="eastAsia" w:ascii="楷体_GB2312" w:eastAsia="楷体_GB2312" w:cs="Times New Roman"/>
          <w:b/>
          <w:bCs/>
          <w:sz w:val="18"/>
          <w:szCs w:val="18"/>
          <w:shd w:val="clear" w:color="FFFFFF" w:fill="D9D9D9"/>
          <w:lang w:val="zh-CN"/>
        </w:rPr>
        <w:t>符合通常惯例</w:t>
      </w:r>
    </w:p>
    <w:p w14:paraId="7FBC87DD">
      <w:pPr>
        <w:pStyle w:val="12"/>
        <w:snapToGrid w:val="0"/>
        <w:spacing w:before="0" w:beforeAutospacing="0" w:after="0" w:afterAutospacing="0" w:line="220" w:lineRule="atLeast"/>
        <w:rPr>
          <w:rFonts w:ascii="楷体_GB2312" w:eastAsia="楷体_GB2312" w:cs="Times New Roman"/>
          <w:sz w:val="18"/>
          <w:szCs w:val="18"/>
          <w:shd w:val="clear" w:color="FFFFFF" w:fill="D9D9D9"/>
          <w:lang w:val="zh-CN"/>
        </w:rPr>
      </w:pPr>
      <w:r>
        <w:rPr>
          <w:rFonts w:hint="eastAsia" w:ascii="楷体_GB2312" w:eastAsia="楷体_GB2312" w:cs="Times New Roman"/>
          <w:sz w:val="18"/>
          <w:szCs w:val="18"/>
          <w:shd w:val="clear" w:color="FFFFFF" w:fill="D9D9D9"/>
          <w:lang w:val="zh-CN"/>
        </w:rPr>
        <w:t>（1）指与接受医疗服务所在地通行治疗规范、通行治疗方法；（2）医疗费用没有超过当地对类似情形治疗的常规费用，类似情形是指在同一地区、对相同性别、近似年龄的人所患的同类疾病或身体伤害实施的类似治疗或服务；（3）药品处方开具的药品与医疗器械必须是被保险人当前治疗所必备的且必须与国家药品监督管理机构批准的该药品说明书中所列明的适应症和用法用量相符合。</w:t>
      </w:r>
    </w:p>
    <w:p w14:paraId="2A49E66D">
      <w:pPr>
        <w:pStyle w:val="12"/>
        <w:snapToGrid w:val="0"/>
        <w:spacing w:before="0" w:beforeAutospacing="0" w:after="0" w:afterAutospacing="0" w:line="220" w:lineRule="atLeast"/>
        <w:rPr>
          <w:rFonts w:ascii="楷体_GB2312" w:eastAsia="楷体_GB2312" w:cs="Times New Roman"/>
          <w:sz w:val="18"/>
          <w:szCs w:val="18"/>
          <w:shd w:val="clear" w:color="FFFFFF" w:fill="D9D9D9"/>
          <w:lang w:val="zh-CN"/>
        </w:rPr>
      </w:pPr>
      <w:r>
        <w:rPr>
          <w:rFonts w:hint="eastAsia" w:ascii="楷体_GB2312" w:eastAsia="楷体_GB2312" w:cs="Times New Roman"/>
          <w:sz w:val="18"/>
          <w:szCs w:val="18"/>
          <w:shd w:val="clear" w:color="FFFFFF" w:fill="D9D9D9"/>
          <w:lang w:val="zh-CN"/>
        </w:rPr>
        <w:t>对是否符合通常惯例由保险人根据客观、审慎、合理的原则进行审核；如果被保险人对审核结果有不同意见，可由双方认同的权威医学机构或者权威医学专家进行审核鉴定。</w:t>
      </w:r>
    </w:p>
    <w:p w14:paraId="53322D5B">
      <w:pPr>
        <w:pStyle w:val="12"/>
        <w:snapToGrid w:val="0"/>
        <w:spacing w:before="0" w:beforeAutospacing="0" w:after="0" w:afterAutospacing="0" w:line="220" w:lineRule="atLeast"/>
        <w:ind w:right="90" w:rightChars="43"/>
        <w:rPr>
          <w:rFonts w:ascii="楷体_GB2312" w:eastAsia="楷体_GB2312" w:cs="Times New Roman"/>
          <w:sz w:val="18"/>
          <w:szCs w:val="18"/>
          <w:shd w:val="clear" w:color="FFFFFF" w:fill="D9D9D9"/>
          <w:lang w:val="zh-CN"/>
        </w:rPr>
      </w:pPr>
      <w:r>
        <w:rPr>
          <w:rFonts w:hint="eastAsia" w:ascii="楷体_GB2312" w:eastAsia="楷体_GB2312" w:cs="Times New Roman"/>
          <w:sz w:val="18"/>
          <w:szCs w:val="18"/>
          <w:shd w:val="clear" w:color="FFFFFF" w:fill="D9D9D9"/>
          <w:lang w:val="zh-CN"/>
        </w:rPr>
        <w:t>（二）</w:t>
      </w:r>
      <w:r>
        <w:rPr>
          <w:rFonts w:hint="eastAsia" w:ascii="楷体_GB2312" w:eastAsia="楷体_GB2312" w:cs="Times New Roman"/>
          <w:b/>
          <w:bCs/>
          <w:sz w:val="18"/>
          <w:szCs w:val="18"/>
          <w:shd w:val="clear" w:color="FFFFFF" w:fill="D9D9D9"/>
          <w:lang w:val="zh-CN"/>
        </w:rPr>
        <w:t>医学必要</w:t>
      </w:r>
      <w:r>
        <w:rPr>
          <w:rFonts w:hint="eastAsia" w:ascii="楷体_GB2312" w:eastAsia="楷体_GB2312" w:cs="Times New Roman"/>
          <w:sz w:val="18"/>
          <w:szCs w:val="18"/>
          <w:shd w:val="clear" w:color="FFFFFF" w:fill="D9D9D9"/>
          <w:lang w:val="zh-CN"/>
        </w:rPr>
        <w:t>指医疗费用符合下列所有条件：</w:t>
      </w:r>
    </w:p>
    <w:p w14:paraId="0ECB7CC5">
      <w:pPr>
        <w:pStyle w:val="12"/>
        <w:snapToGrid w:val="0"/>
        <w:spacing w:before="0" w:beforeAutospacing="0" w:after="0" w:afterAutospacing="0" w:line="220" w:lineRule="atLeast"/>
        <w:rPr>
          <w:rFonts w:ascii="楷体_GB2312" w:eastAsia="楷体_GB2312" w:cs="Times New Roman"/>
          <w:sz w:val="18"/>
          <w:szCs w:val="18"/>
          <w:shd w:val="clear" w:color="FFFFFF" w:fill="D9D9D9"/>
          <w:lang w:val="zh-CN"/>
        </w:rPr>
      </w:pPr>
      <w:r>
        <w:rPr>
          <w:rFonts w:hint="eastAsia" w:ascii="楷体_GB2312" w:eastAsia="楷体_GB2312" w:cs="Times New Roman"/>
          <w:sz w:val="18"/>
          <w:szCs w:val="18"/>
          <w:shd w:val="clear" w:color="FFFFFF" w:fill="D9D9D9"/>
          <w:lang w:val="zh-CN"/>
        </w:rPr>
        <w:t>（1）治疗意外伤害或者疾病所必需的项目；（2）不超过安全、足量治疗原则的项目；（3）未出现</w:t>
      </w:r>
      <w:r>
        <w:rPr>
          <w:rFonts w:hint="eastAsia" w:ascii="楷体_GB2312" w:eastAsia="楷体_GB2312" w:cs="Times New Roman"/>
          <w:b/>
          <w:bCs/>
          <w:sz w:val="18"/>
          <w:szCs w:val="18"/>
          <w:shd w:val="clear" w:color="FFFFFF" w:fill="D9D9D9"/>
          <w:lang w:val="zh-CN"/>
        </w:rPr>
        <w:t>耐药</w:t>
      </w:r>
      <w:r>
        <w:rPr>
          <w:rFonts w:hint="eastAsia" w:ascii="楷体_GB2312" w:eastAsia="楷体_GB2312" w:cs="Times New Roman"/>
          <w:sz w:val="18"/>
          <w:szCs w:val="18"/>
          <w:shd w:val="clear" w:color="FFFFFF" w:fill="D9D9D9"/>
          <w:lang w:val="zh-CN"/>
        </w:rPr>
        <w:t>情况或符合临床联合用药方案的；（4）非试验性的、非研究性的项目；（5）与接受治疗当地普遍接受的医疗专业实践标准一致的项目；（6）接受的医疗服务范围是合适的而且经济有效的；（</w:t>
      </w:r>
      <w:r>
        <w:rPr>
          <w:rFonts w:hint="eastAsia" w:ascii="楷体_GB2312" w:eastAsia="楷体_GB2312" w:cs="Times New Roman"/>
          <w:sz w:val="18"/>
          <w:szCs w:val="18"/>
          <w:shd w:val="clear" w:color="FFFFFF" w:fill="D9D9D9"/>
        </w:rPr>
        <w:t>7）</w:t>
      </w:r>
      <w:r>
        <w:rPr>
          <w:rFonts w:hint="eastAsia" w:ascii="楷体_GB2312" w:eastAsia="楷体_GB2312" w:cs="Times New Roman"/>
          <w:sz w:val="18"/>
          <w:szCs w:val="18"/>
          <w:shd w:val="clear" w:color="FFFFFF" w:fill="D9D9D9"/>
          <w:lang w:val="zh-CN"/>
        </w:rPr>
        <w:t>医师处方要求且对治疗被保险人疾病或伤害合适且必需；</w:t>
      </w:r>
      <w:r>
        <w:rPr>
          <w:rFonts w:hint="eastAsia" w:ascii="楷体_GB2312" w:eastAsia="楷体_GB2312" w:cs="Times New Roman"/>
          <w:sz w:val="18"/>
          <w:szCs w:val="18"/>
          <w:shd w:val="clear" w:color="FFFFFF" w:fill="D9D9D9"/>
        </w:rPr>
        <w:t>(8)</w:t>
      </w:r>
      <w:r>
        <w:rPr>
          <w:rFonts w:hint="eastAsia" w:ascii="楷体_GB2312" w:eastAsia="楷体_GB2312" w:cs="Times New Roman"/>
          <w:sz w:val="18"/>
          <w:szCs w:val="18"/>
          <w:shd w:val="clear" w:color="FFFFFF" w:fill="D9D9D9"/>
          <w:lang w:val="zh-CN"/>
        </w:rPr>
        <w:t>在范围、持续期、强度、护理上不超过为被保险人提供安全、恰当、合适的诊断或治疗所需的水平;（9）非主要为了个人舒适或为了被保险人父母、家庭、医师或其他医疗提供方的方便；（10）非病人学术教育或职业培训的一部分或与之相关。</w:t>
      </w:r>
    </w:p>
    <w:p w14:paraId="5037281A">
      <w:pPr>
        <w:pStyle w:val="12"/>
        <w:snapToGrid w:val="0"/>
        <w:spacing w:before="0" w:beforeAutospacing="0" w:after="0" w:afterAutospacing="0" w:line="220" w:lineRule="atLeast"/>
        <w:rPr>
          <w:rFonts w:ascii="楷体_GB2312" w:eastAsia="楷体_GB2312" w:cs="Times New Roman"/>
          <w:sz w:val="18"/>
          <w:szCs w:val="18"/>
          <w:lang w:val="zh-CN"/>
        </w:rPr>
      </w:pPr>
      <w:r>
        <w:rPr>
          <w:rFonts w:hint="eastAsia" w:ascii="楷体_GB2312" w:eastAsia="楷体_GB2312" w:cs="Times New Roman"/>
          <w:sz w:val="18"/>
          <w:szCs w:val="18"/>
          <w:shd w:val="clear" w:color="FFFFFF" w:fill="D9D9D9"/>
          <w:lang w:val="zh-CN"/>
        </w:rPr>
        <w:t>对是否</w:t>
      </w:r>
      <w:r>
        <w:rPr>
          <w:rFonts w:hint="eastAsia" w:ascii="楷体_GB2312" w:eastAsia="楷体_GB2312" w:cs="Times New Roman"/>
          <w:b/>
          <w:bCs/>
          <w:sz w:val="18"/>
          <w:szCs w:val="18"/>
          <w:shd w:val="clear" w:color="FFFFFF" w:fill="D9D9D9"/>
          <w:lang w:val="zh-CN"/>
        </w:rPr>
        <w:t>医学必</w:t>
      </w:r>
      <w:r>
        <w:rPr>
          <w:rFonts w:hint="eastAsia" w:ascii="楷体_GB2312" w:eastAsia="楷体_GB2312" w:cs="Times New Roman"/>
          <w:b/>
          <w:bCs/>
          <w:sz w:val="18"/>
          <w:szCs w:val="18"/>
          <w:shd w:val="clear" w:color="FFFFFF" w:fill="D9D9D9"/>
        </w:rPr>
        <w:t>要</w:t>
      </w:r>
      <w:r>
        <w:rPr>
          <w:rFonts w:hint="eastAsia" w:ascii="楷体_GB2312" w:eastAsia="楷体_GB2312" w:cs="Times New Roman"/>
          <w:sz w:val="18"/>
          <w:szCs w:val="18"/>
          <w:shd w:val="clear" w:color="FFFFFF" w:fill="D9D9D9"/>
          <w:lang w:val="zh-CN"/>
        </w:rPr>
        <w:t>由保险人根据客观、审慎、合理的原则进行审核；如果被保险人对审核结果有不同意见，可由双方认同的权威医学机构或者权威医学专家进行审核鉴定</w:t>
      </w:r>
      <w:r>
        <w:rPr>
          <w:rFonts w:hint="eastAsia" w:ascii="楷体_GB2312" w:eastAsia="楷体_GB2312" w:cs="Times New Roman"/>
          <w:sz w:val="18"/>
          <w:szCs w:val="18"/>
          <w:lang w:val="zh-CN"/>
        </w:rPr>
        <w:t>。</w:t>
      </w:r>
    </w:p>
    <w:p w14:paraId="04540686">
      <w:pPr>
        <w:pStyle w:val="12"/>
        <w:snapToGrid w:val="0"/>
        <w:spacing w:before="0" w:beforeAutospacing="0" w:after="0" w:afterAutospacing="0" w:line="220" w:lineRule="atLeast"/>
        <w:rPr>
          <w:rFonts w:ascii="楷体_GB2312" w:eastAsia="楷体_GB2312" w:cs="Times New Roman"/>
          <w:sz w:val="18"/>
          <w:szCs w:val="18"/>
          <w:lang w:val="zh-CN"/>
        </w:rPr>
      </w:pPr>
      <w:r>
        <w:rPr>
          <w:rFonts w:hint="eastAsia" w:ascii="楷体_GB2312" w:eastAsia="楷体_GB2312" w:cs="Times New Roman"/>
          <w:b/>
          <w:bCs/>
          <w:sz w:val="18"/>
          <w:szCs w:val="18"/>
          <w:lang w:val="zh-CN"/>
        </w:rPr>
        <w:t>耐药</w:t>
      </w:r>
      <w:r>
        <w:rPr>
          <w:rFonts w:hint="eastAsia" w:ascii="楷体_GB2312" w:eastAsia="楷体_GB2312" w:cs="Times New Roman"/>
          <w:sz w:val="18"/>
          <w:szCs w:val="18"/>
          <w:lang w:val="zh-CN"/>
        </w:rPr>
        <w:t>指以下两种情况之一：</w:t>
      </w:r>
    </w:p>
    <w:p w14:paraId="73B38300">
      <w:pPr>
        <w:pStyle w:val="12"/>
        <w:numPr>
          <w:ilvl w:val="255"/>
          <w:numId w:val="0"/>
        </w:numPr>
        <w:snapToGrid w:val="0"/>
        <w:spacing w:before="0" w:beforeAutospacing="0" w:after="0" w:afterAutospacing="0" w:line="220" w:lineRule="atLeast"/>
        <w:rPr>
          <w:rFonts w:ascii="楷体_GB2312" w:eastAsia="楷体_GB2312" w:cs="Times New Roman"/>
          <w:sz w:val="18"/>
          <w:szCs w:val="18"/>
          <w:lang w:val="zh-CN"/>
        </w:rPr>
      </w:pPr>
      <w:r>
        <w:rPr>
          <w:rFonts w:hint="eastAsia" w:ascii="楷体_GB2312" w:eastAsia="楷体_GB2312" w:cs="Times New Roman"/>
          <w:sz w:val="18"/>
          <w:szCs w:val="18"/>
          <w:lang w:val="zh-CN"/>
        </w:rPr>
        <w:t>（</w:t>
      </w:r>
      <w:r>
        <w:rPr>
          <w:rFonts w:hint="eastAsia" w:ascii="楷体_GB2312" w:eastAsia="楷体_GB2312" w:cs="Times New Roman"/>
          <w:sz w:val="18"/>
          <w:szCs w:val="18"/>
        </w:rPr>
        <w:t>1）</w:t>
      </w:r>
      <w:r>
        <w:rPr>
          <w:rFonts w:hint="eastAsia" w:ascii="楷体_GB2312" w:eastAsia="楷体_GB2312" w:cs="Times New Roman"/>
          <w:sz w:val="18"/>
          <w:szCs w:val="18"/>
          <w:lang w:val="zh-CN"/>
        </w:rPr>
        <w:t>实体肿瘤病灶按照RECIST（实体瘤治疗疗效评价标准）出现疾病进展；</w:t>
      </w:r>
    </w:p>
    <w:p w14:paraId="1932E577">
      <w:pPr>
        <w:pStyle w:val="12"/>
        <w:numPr>
          <w:ilvl w:val="255"/>
          <w:numId w:val="0"/>
        </w:numPr>
        <w:snapToGrid w:val="0"/>
        <w:spacing w:before="0" w:beforeAutospacing="0" w:after="0" w:afterAutospacing="0" w:line="220" w:lineRule="atLeast"/>
      </w:pPr>
      <w:r>
        <w:rPr>
          <w:rFonts w:hint="eastAsia" w:ascii="楷体_GB2312" w:eastAsia="楷体_GB2312" w:cs="Times New Roman"/>
          <w:sz w:val="18"/>
          <w:szCs w:val="18"/>
          <w:lang w:val="zh-CN"/>
        </w:rPr>
        <w:t>（</w:t>
      </w:r>
      <w:r>
        <w:rPr>
          <w:rFonts w:hint="eastAsia" w:ascii="楷体_GB2312" w:eastAsia="楷体_GB2312" w:cs="Times New Roman"/>
          <w:sz w:val="18"/>
          <w:szCs w:val="18"/>
        </w:rPr>
        <w:t>2）</w:t>
      </w:r>
      <w:r>
        <w:rPr>
          <w:rFonts w:hint="eastAsia" w:ascii="楷体_GB2312" w:eastAsia="楷体_GB2312" w:cs="Times New Roman"/>
          <w:sz w:val="18"/>
          <w:szCs w:val="18"/>
          <w:lang w:val="zh-CN"/>
        </w:rPr>
        <w:t>非实体肿瘤（包含白血病、多发性骨髓瘤、淋巴瘤等血液系统恶性肿瘤）在临床上常无明确的肿块或者肿块较小难以发现，经规范治疗后，按权威医学机构（如中国临床肿瘤学会、中华医学会血液分会等）的指南规范，对患者的骨髓形态学、流式细胞、特定基因检测等结果进行综合评价，得出疾病进展的结论。</w:t>
      </w:r>
    </w:p>
  </w:footnote>
  <w:footnote w:id="12">
    <w:p w14:paraId="2BCC633E">
      <w:pPr>
        <w:pStyle w:val="10"/>
        <w:snapToGrid w:val="0"/>
        <w:spacing w:after="0" w:line="240" w:lineRule="exact"/>
        <w:rPr>
          <w:rFonts w:hint="eastAsia" w:ascii="楷体_GB2312" w:hAnsi="宋体" w:eastAsia="楷体_GB2312"/>
          <w:b w:val="0"/>
          <w:lang w:eastAsia="zh-CN"/>
        </w:rPr>
      </w:pPr>
      <w:r>
        <w:rPr>
          <w:rStyle w:val="23"/>
          <w:rFonts w:ascii="楷体_GB2312" w:hAnsi="Times New Roman" w:eastAsia="楷体_GB2312"/>
          <w:b/>
        </w:rPr>
        <w:footnoteRef/>
      </w:r>
      <w:r>
        <w:rPr>
          <w:rFonts w:hint="eastAsia" w:ascii="楷体_GB2312" w:hAnsi="宋体" w:eastAsia="楷体_GB2312"/>
          <w:b/>
          <w:lang w:val="en-US" w:eastAsia="zh-CN"/>
        </w:rPr>
        <w:t>门诊急诊及住院医疗</w:t>
      </w:r>
      <w:r>
        <w:rPr>
          <w:rFonts w:hint="eastAsia" w:ascii="楷体_GB2312" w:hAnsi="宋体" w:eastAsia="楷体_GB2312" w:cs="Times New Roman"/>
          <w:b/>
          <w:sz w:val="18"/>
          <w:szCs w:val="18"/>
          <w:lang w:val="en-US"/>
        </w:rPr>
        <w:t>费用</w:t>
      </w:r>
      <w:r>
        <w:rPr>
          <w:rFonts w:hint="eastAsia" w:ascii="楷体_GB2312" w:hAnsi="宋体" w:eastAsia="楷体_GB2312" w:cs="Times New Roman"/>
          <w:b w:val="0"/>
          <w:sz w:val="18"/>
          <w:szCs w:val="18"/>
          <w:lang w:val="en-US" w:eastAsia="zh-CN"/>
        </w:rPr>
        <w:t>指被保险人在医院门诊部门、急诊部门或住院期间发生的</w:t>
      </w:r>
      <w:r>
        <w:rPr>
          <w:rFonts w:hint="eastAsia" w:ascii="楷体_GB2312" w:hAnsi="宋体" w:eastAsia="楷体_GB2312"/>
          <w:b w:val="0"/>
        </w:rPr>
        <w:t>床位费</w:t>
      </w:r>
      <w:r>
        <w:rPr>
          <w:rFonts w:hint="eastAsia" w:ascii="楷体_GB2312" w:hAnsi="宋体" w:eastAsia="楷体_GB2312"/>
        </w:rPr>
        <w:t>、</w:t>
      </w:r>
      <w:r>
        <w:rPr>
          <w:rFonts w:hint="eastAsia" w:ascii="楷体_GB2312" w:hAnsi="宋体" w:eastAsia="楷体_GB2312"/>
          <w:b w:val="0"/>
        </w:rPr>
        <w:t>陪床费</w:t>
      </w:r>
      <w:r>
        <w:rPr>
          <w:rFonts w:hint="eastAsia" w:ascii="楷体_GB2312" w:hAnsi="宋体" w:eastAsia="楷体_GB2312"/>
        </w:rPr>
        <w:t>、</w:t>
      </w:r>
      <w:r>
        <w:rPr>
          <w:rFonts w:hint="eastAsia" w:ascii="楷体_GB2312" w:hAnsi="宋体" w:eastAsia="楷体_GB2312"/>
          <w:b w:val="0"/>
        </w:rPr>
        <w:t>重症监护室床位费</w:t>
      </w:r>
      <w:r>
        <w:rPr>
          <w:rFonts w:hint="eastAsia" w:ascii="楷体_GB2312" w:hAnsi="宋体" w:eastAsia="楷体_GB2312"/>
        </w:rPr>
        <w:t>、</w:t>
      </w:r>
      <w:r>
        <w:rPr>
          <w:rFonts w:hint="eastAsia" w:ascii="楷体_GB2312" w:hAnsi="宋体" w:eastAsia="楷体_GB2312"/>
          <w:b w:val="0"/>
        </w:rPr>
        <w:t>膳食费</w:t>
      </w:r>
      <w:r>
        <w:rPr>
          <w:rFonts w:hint="eastAsia" w:ascii="楷体_GB2312" w:hAnsi="宋体" w:eastAsia="楷体_GB2312"/>
        </w:rPr>
        <w:t>、</w:t>
      </w:r>
      <w:r>
        <w:rPr>
          <w:rFonts w:hint="eastAsia" w:ascii="楷体_GB2312" w:hAnsi="宋体" w:eastAsia="楷体_GB2312"/>
          <w:b w:val="0"/>
        </w:rPr>
        <w:t>护理费</w:t>
      </w:r>
      <w:r>
        <w:rPr>
          <w:rFonts w:hint="eastAsia" w:ascii="楷体_GB2312" w:hAnsi="宋体" w:eastAsia="楷体_GB2312"/>
        </w:rPr>
        <w:t>、</w:t>
      </w:r>
      <w:r>
        <w:rPr>
          <w:rFonts w:hint="eastAsia" w:ascii="楷体_GB2312" w:hAnsi="宋体" w:eastAsia="楷体_GB2312"/>
          <w:b w:val="0"/>
          <w:color w:val="auto"/>
        </w:rPr>
        <w:t>治疗费</w:t>
      </w:r>
      <w:r>
        <w:rPr>
          <w:rFonts w:hint="eastAsia" w:ascii="楷体_GB2312" w:hAnsi="宋体" w:eastAsia="楷体_GB2312"/>
        </w:rPr>
        <w:t>、</w:t>
      </w:r>
      <w:r>
        <w:rPr>
          <w:rFonts w:hint="eastAsia" w:ascii="楷体_GB2312" w:hAnsi="宋体" w:eastAsia="楷体_GB2312"/>
          <w:b w:val="0"/>
        </w:rPr>
        <w:t>检查检验费</w:t>
      </w:r>
      <w:r>
        <w:rPr>
          <w:rFonts w:hint="eastAsia" w:ascii="楷体_GB2312" w:hAnsi="宋体" w:eastAsia="楷体_GB2312"/>
        </w:rPr>
        <w:t>、</w:t>
      </w:r>
      <w:r>
        <w:rPr>
          <w:rFonts w:hint="eastAsia" w:ascii="楷体_GB2312" w:hAnsi="宋体" w:eastAsia="楷体_GB2312"/>
          <w:b w:val="0"/>
        </w:rPr>
        <w:t>药品费</w:t>
      </w:r>
      <w:r>
        <w:rPr>
          <w:rFonts w:hint="eastAsia" w:ascii="楷体_GB2312" w:hAnsi="宋体" w:eastAsia="楷体_GB2312"/>
        </w:rPr>
        <w:t>、</w:t>
      </w:r>
      <w:r>
        <w:rPr>
          <w:rFonts w:hint="eastAsia" w:ascii="楷体_GB2312" w:hAnsi="宋体" w:eastAsia="楷体_GB2312"/>
          <w:b w:val="0"/>
        </w:rPr>
        <w:t>医疗器械使用费</w:t>
      </w:r>
      <w:r>
        <w:rPr>
          <w:rFonts w:hint="eastAsia" w:ascii="楷体_GB2312" w:hAnsi="宋体" w:eastAsia="楷体_GB2312"/>
        </w:rPr>
        <w:t>、</w:t>
      </w:r>
      <w:r>
        <w:rPr>
          <w:rFonts w:hint="eastAsia" w:ascii="楷体_GB2312" w:hAnsi="宋体" w:eastAsia="楷体_GB2312"/>
          <w:b w:val="0"/>
        </w:rPr>
        <w:t>医生诊疗费</w:t>
      </w:r>
      <w:r>
        <w:rPr>
          <w:rFonts w:hint="eastAsia" w:ascii="楷体_GB2312" w:hAnsi="宋体" w:eastAsia="楷体_GB2312"/>
        </w:rPr>
        <w:t>、</w:t>
      </w:r>
      <w:r>
        <w:rPr>
          <w:rFonts w:hint="eastAsia" w:ascii="楷体_GB2312" w:hAnsi="宋体" w:eastAsia="楷体_GB2312"/>
          <w:b w:val="0"/>
        </w:rPr>
        <w:t>手术费</w:t>
      </w:r>
      <w:r>
        <w:rPr>
          <w:rFonts w:hint="eastAsia" w:ascii="楷体_GB2312" w:hAnsi="宋体" w:eastAsia="楷体_GB2312"/>
        </w:rPr>
        <w:t>和</w:t>
      </w:r>
      <w:r>
        <w:rPr>
          <w:rFonts w:hint="eastAsia" w:ascii="楷体_GB2312" w:hAnsi="宋体" w:eastAsia="楷体_GB2312"/>
          <w:b/>
          <w:bCs/>
        </w:rPr>
        <w:t>救护车使用费</w:t>
      </w:r>
      <w:r>
        <w:rPr>
          <w:rFonts w:hint="eastAsia" w:ascii="楷体_GB2312" w:hAnsi="宋体" w:eastAsia="楷体_GB2312"/>
          <w:b w:val="0"/>
          <w:lang w:eastAsia="zh-CN"/>
        </w:rPr>
        <w:t>。</w:t>
      </w:r>
    </w:p>
    <w:p w14:paraId="61BCC18D">
      <w:pPr>
        <w:pStyle w:val="10"/>
        <w:snapToGrid/>
        <w:spacing w:after="0" w:line="240" w:lineRule="exact"/>
        <w:jc w:val="both"/>
        <w:rPr>
          <w:rFonts w:hint="eastAsia" w:ascii="楷体_GB2312" w:hAnsi="宋体" w:eastAsia="楷体_GB2312"/>
          <w:b w:val="0"/>
          <w:lang w:eastAsia="zh-CN"/>
        </w:rPr>
      </w:pPr>
      <w:r>
        <w:rPr>
          <w:rFonts w:hint="eastAsia" w:ascii="楷体_GB2312" w:eastAsia="楷体_GB2312"/>
          <w:lang w:val="en-US"/>
        </w:rPr>
        <w:t>救护车使用费指</w:t>
      </w:r>
      <w:r>
        <w:rPr>
          <w:rFonts w:hint="eastAsia" w:ascii="楷体_GB2312" w:eastAsia="楷体_GB2312"/>
        </w:rPr>
        <w:t>为抢救生命由急救中心派出的救护车运送被保险人至医疗机构的费用，</w:t>
      </w:r>
      <w:r>
        <w:rPr>
          <w:rFonts w:hint="eastAsia" w:ascii="楷体_GB2312" w:eastAsia="楷体_GB2312"/>
          <w:shd w:val="clear" w:color="FFFFFF" w:fill="D9D9D9"/>
        </w:rPr>
        <w:t>救护车的使用仅限于同一城市中的医疗转送。</w:t>
      </w:r>
    </w:p>
  </w:footnote>
  <w:footnote w:id="13">
    <w:p w14:paraId="1340EF82">
      <w:pPr>
        <w:pStyle w:val="10"/>
        <w:snapToGrid w:val="0"/>
        <w:spacing w:after="0"/>
        <w:rPr>
          <w:rFonts w:hint="eastAsia" w:ascii="楷体_GB2312" w:hAnsi="宋体" w:eastAsia="楷体_GB2312"/>
        </w:rPr>
      </w:pPr>
      <w:r>
        <w:rPr>
          <w:rStyle w:val="23"/>
          <w:rFonts w:ascii="楷体_GB2312" w:hAnsi="Times New Roman" w:eastAsia="楷体_GB2312"/>
          <w:b/>
        </w:rPr>
        <w:footnoteRef/>
      </w:r>
      <w:r>
        <w:rPr>
          <w:rFonts w:hint="eastAsia" w:ascii="楷体_GB2312" w:hAnsi="宋体" w:eastAsia="楷体_GB2312" w:cs="Times New Roman"/>
          <w:b/>
          <w:sz w:val="18"/>
          <w:szCs w:val="18"/>
          <w:lang w:val="en-US"/>
        </w:rPr>
        <w:t>药店</w:t>
      </w:r>
      <w:r>
        <w:rPr>
          <w:rFonts w:hint="eastAsia" w:ascii="楷体_GB2312" w:hAnsi="宋体" w:eastAsia="楷体_GB2312" w:cs="Times New Roman"/>
          <w:sz w:val="18"/>
          <w:szCs w:val="18"/>
        </w:rPr>
        <w:t>须同时满足以下条件：（1）取得国家药品经营许可证；（2）药店内具有医师、执业药师等专业人员提供服务。</w:t>
      </w:r>
    </w:p>
  </w:footnote>
  <w:footnote w:id="14">
    <w:p w14:paraId="4345BDBE">
      <w:pPr>
        <w:pStyle w:val="10"/>
        <w:snapToGrid w:val="0"/>
        <w:spacing w:after="0"/>
        <w:rPr>
          <w:rFonts w:hint="eastAsia" w:ascii="楷体_GB2312" w:hAnsi="宋体" w:eastAsia="楷体_GB2312"/>
          <w:lang w:val="en-US" w:eastAsia="zh-CN"/>
        </w:rPr>
      </w:pPr>
      <w:r>
        <w:rPr>
          <w:rStyle w:val="23"/>
          <w:rFonts w:ascii="楷体_GB2312" w:hAnsi="Times New Roman" w:eastAsia="楷体_GB2312"/>
          <w:b/>
        </w:rPr>
        <w:footnoteRef/>
      </w:r>
      <w:r>
        <w:rPr>
          <w:rFonts w:hint="eastAsia" w:ascii="楷体_GB2312" w:hAnsi="宋体" w:eastAsia="楷体_GB2312"/>
          <w:b/>
          <w:lang w:val="en-US" w:eastAsia="zh-CN"/>
        </w:rPr>
        <w:t>体检机构</w:t>
      </w:r>
      <w:r>
        <w:rPr>
          <w:rFonts w:hint="eastAsia" w:ascii="楷体_GB2312" w:hAnsi="宋体" w:eastAsia="楷体_GB2312"/>
          <w:lang w:val="en-US" w:eastAsia="zh-CN"/>
        </w:rPr>
        <w:t>指</w:t>
      </w:r>
      <w:r>
        <w:rPr>
          <w:rFonts w:hint="eastAsia" w:ascii="楷体_GB2312" w:hAnsi="宋体" w:eastAsia="楷体_GB2312" w:cs="Times New Roman"/>
          <w:sz w:val="18"/>
          <w:szCs w:val="18"/>
        </w:rPr>
        <w:t>由国家授权批准的通过医学手段和方法对受检者进行身体检查，了解受检者健康状况、早期发现疾病线索和健康隐患的机构。需要满足以下条件：（1）具有医疗卫生机构执业许可证</w:t>
      </w:r>
      <w:r>
        <w:rPr>
          <w:rFonts w:hint="eastAsia" w:ascii="楷体_GB2312" w:hAnsi="宋体" w:eastAsia="楷体_GB2312" w:cs="Times New Roman"/>
          <w:sz w:val="18"/>
          <w:szCs w:val="18"/>
          <w:lang w:eastAsia="zh-CN"/>
        </w:rPr>
        <w:t>；</w:t>
      </w:r>
      <w:r>
        <w:rPr>
          <w:rFonts w:hint="eastAsia" w:ascii="楷体_GB2312" w:hAnsi="宋体" w:eastAsia="楷体_GB2312" w:cs="Times New Roman"/>
          <w:sz w:val="18"/>
          <w:szCs w:val="18"/>
        </w:rPr>
        <w:t>（2）具备固定的医疗卫生机构场所，拥有符合卫生标准的体检设备和场地</w:t>
      </w:r>
      <w:r>
        <w:rPr>
          <w:rFonts w:hint="eastAsia" w:ascii="楷体_GB2312" w:hAnsi="宋体" w:eastAsia="楷体_GB2312" w:cs="Times New Roman"/>
          <w:sz w:val="18"/>
          <w:szCs w:val="18"/>
          <w:lang w:eastAsia="zh-CN"/>
        </w:rPr>
        <w:t>；</w:t>
      </w:r>
      <w:r>
        <w:rPr>
          <w:rFonts w:hint="eastAsia" w:ascii="楷体_GB2312" w:hAnsi="宋体" w:eastAsia="楷体_GB2312" w:cs="Times New Roman"/>
          <w:sz w:val="18"/>
          <w:szCs w:val="18"/>
        </w:rPr>
        <w:t>（3）拥有专业的医疗团队，包括医生、护士、技师等</w:t>
      </w:r>
      <w:r>
        <w:rPr>
          <w:rFonts w:hint="eastAsia" w:ascii="楷体_GB2312" w:hAnsi="宋体" w:eastAsia="楷体_GB2312" w:cs="Times New Roman"/>
          <w:sz w:val="18"/>
          <w:szCs w:val="18"/>
          <w:lang w:eastAsia="zh-CN"/>
        </w:rPr>
        <w:t>；</w:t>
      </w:r>
      <w:r>
        <w:rPr>
          <w:rFonts w:hint="eastAsia" w:ascii="楷体_GB2312" w:hAnsi="宋体" w:eastAsia="楷体_GB2312" w:cs="Times New Roman"/>
          <w:sz w:val="18"/>
          <w:szCs w:val="18"/>
        </w:rPr>
        <w:t>（4）满足国家和地方相关卫生、安全、环保等方面的法律法规要求。</w:t>
      </w:r>
    </w:p>
  </w:footnote>
  <w:footnote w:id="15">
    <w:p w14:paraId="2E520CAF">
      <w:pPr>
        <w:pStyle w:val="10"/>
        <w:snapToGrid w:val="0"/>
        <w:spacing w:after="0"/>
      </w:pPr>
      <w:r>
        <w:rPr>
          <w:rStyle w:val="23"/>
          <w:rFonts w:ascii="黑体" w:hAnsi="黑体" w:eastAsia="黑体"/>
          <w:b/>
        </w:rPr>
        <w:footnoteRef/>
      </w:r>
      <w:r>
        <w:rPr>
          <w:rFonts w:hint="eastAsia" w:ascii="楷体_GB2312" w:eastAsia="楷体_GB2312" w:hAnsiTheme="minorEastAsia"/>
          <w:b/>
          <w:sz w:val="18"/>
          <w:szCs w:val="18"/>
          <w:shd w:val="clear" w:color="auto" w:fill="auto"/>
          <w:lang w:val="en-US"/>
        </w:rPr>
        <w:t>指定互联网药店</w:t>
      </w:r>
      <w:r>
        <w:rPr>
          <w:rFonts w:hint="eastAsia" w:ascii="楷体_GB2312" w:eastAsia="楷体_GB2312" w:hAnsiTheme="minorEastAsia"/>
          <w:color w:val="auto"/>
          <w:sz w:val="18"/>
          <w:szCs w:val="18"/>
          <w:lang w:val="en-US"/>
        </w:rPr>
        <w:t>指由通过我们指定的互联网渠道引导被保险人</w:t>
      </w:r>
      <w:r>
        <w:rPr>
          <w:rFonts w:hint="eastAsia" w:ascii="楷体_GB2312" w:eastAsia="楷体_GB2312" w:hAnsiTheme="minorEastAsia"/>
          <w:color w:val="auto"/>
          <w:sz w:val="18"/>
          <w:szCs w:val="18"/>
          <w:lang w:val="en-US" w:eastAsia="zh-CN"/>
        </w:rPr>
        <w:t>前往</w:t>
      </w:r>
      <w:r>
        <w:rPr>
          <w:rFonts w:hint="eastAsia" w:ascii="楷体_GB2312" w:eastAsia="楷体_GB2312" w:hAnsiTheme="minorEastAsia"/>
          <w:color w:val="auto"/>
          <w:sz w:val="18"/>
          <w:szCs w:val="18"/>
          <w:lang w:val="en-US"/>
        </w:rPr>
        <w:t>的合法的、有资质的互联网</w:t>
      </w:r>
      <w:r>
        <w:rPr>
          <w:rFonts w:hint="eastAsia" w:ascii="楷体_GB2312" w:eastAsia="楷体_GB2312" w:hAnsiTheme="minorEastAsia"/>
          <w:sz w:val="18"/>
          <w:szCs w:val="18"/>
          <w:lang w:val="en-US" w:eastAsia="zh-CN"/>
        </w:rPr>
        <w:t>药店</w:t>
      </w:r>
      <w:r>
        <w:rPr>
          <w:rFonts w:hint="eastAsia" w:ascii="楷体_GB2312" w:eastAsia="楷体_GB2312" w:hAnsiTheme="minorEastAsia"/>
          <w:color w:val="auto"/>
          <w:sz w:val="18"/>
          <w:szCs w:val="18"/>
          <w:lang w:val="en-US"/>
        </w:rPr>
        <w:t>。</w:t>
      </w:r>
      <w:r>
        <w:rPr>
          <w:rFonts w:hint="eastAsia" w:ascii="楷体_GB2312" w:eastAsia="楷体_GB2312" w:hAnsiTheme="minorEastAsia"/>
          <w:b w:val="0"/>
          <w:bCs/>
          <w:sz w:val="18"/>
          <w:szCs w:val="18"/>
          <w:shd w:val="clear" w:color="auto" w:fill="auto"/>
          <w:lang w:val="en-US"/>
        </w:rPr>
        <w:t>指定互联网药店</w:t>
      </w:r>
      <w:r>
        <w:rPr>
          <w:rFonts w:hint="eastAsia" w:eastAsia="楷体_GB2312"/>
          <w:lang w:val="en-US"/>
        </w:rPr>
        <w:t>的最新版本将在本公司官网-</w:t>
      </w:r>
      <w:r>
        <w:rPr>
          <w:rFonts w:hint="eastAsia" w:eastAsia="楷体_GB2312"/>
          <w:lang w:val="en-US" w:eastAsia="zh-CN"/>
        </w:rPr>
        <w:t>公开信息披露</w:t>
      </w:r>
      <w:r>
        <w:rPr>
          <w:rFonts w:hint="eastAsia" w:eastAsia="楷体_GB2312"/>
          <w:lang w:val="en-US"/>
        </w:rPr>
        <w:t>板块或本保险产品销售平台进行公布。本公司保留对“</w:t>
      </w:r>
      <w:r>
        <w:rPr>
          <w:rFonts w:hint="eastAsia" w:ascii="楷体_GB2312" w:eastAsia="楷体_GB2312" w:hAnsiTheme="minorEastAsia"/>
          <w:b w:val="0"/>
          <w:bCs/>
          <w:sz w:val="18"/>
          <w:szCs w:val="18"/>
          <w:shd w:val="clear" w:color="auto" w:fill="auto"/>
          <w:lang w:val="en-US"/>
        </w:rPr>
        <w:t>指定互联网药店</w:t>
      </w:r>
      <w:r>
        <w:rPr>
          <w:rFonts w:hint="eastAsia" w:eastAsia="楷体_GB2312"/>
          <w:lang w:val="en-US"/>
        </w:rPr>
        <w:t>”清单进行变更的权利，具体以被保险人住院起始时的有效版本为准。</w:t>
      </w:r>
    </w:p>
  </w:footnote>
  <w:footnote w:id="16">
    <w:p w14:paraId="661A04B6">
      <w:pPr>
        <w:pStyle w:val="10"/>
        <w:snapToGrid w:val="0"/>
        <w:spacing w:after="0"/>
      </w:pPr>
      <w:r>
        <w:rPr>
          <w:rStyle w:val="23"/>
          <w:rFonts w:ascii="黑体" w:hAnsi="黑体" w:eastAsia="黑体"/>
          <w:b/>
        </w:rPr>
        <w:footnoteRef/>
      </w:r>
      <w:r>
        <w:rPr>
          <w:rFonts w:hint="eastAsia" w:ascii="楷体_GB2312" w:eastAsia="楷体_GB2312" w:hAnsiTheme="minorEastAsia"/>
          <w:b/>
          <w:sz w:val="18"/>
          <w:szCs w:val="18"/>
          <w:shd w:val="clear" w:color="auto" w:fill="auto"/>
          <w:lang w:val="en-US"/>
        </w:rPr>
        <w:t>指定健康管理机构</w:t>
      </w:r>
      <w:r>
        <w:rPr>
          <w:rFonts w:hint="eastAsia" w:ascii="楷体_GB2312" w:eastAsia="楷体_GB2312" w:hAnsiTheme="minorEastAsia"/>
          <w:sz w:val="18"/>
          <w:szCs w:val="18"/>
          <w:lang w:val="en-US"/>
        </w:rPr>
        <w:t>指由通过我们指定的渠道引导被保险人</w:t>
      </w:r>
      <w:r>
        <w:rPr>
          <w:rFonts w:hint="eastAsia" w:ascii="楷体_GB2312" w:eastAsia="楷体_GB2312" w:hAnsiTheme="minorEastAsia"/>
          <w:sz w:val="18"/>
          <w:szCs w:val="18"/>
          <w:lang w:val="en-US" w:eastAsia="zh-CN"/>
        </w:rPr>
        <w:t>前往</w:t>
      </w:r>
      <w:r>
        <w:rPr>
          <w:rFonts w:hint="eastAsia" w:ascii="楷体_GB2312" w:eastAsia="楷体_GB2312" w:hAnsiTheme="minorEastAsia"/>
          <w:sz w:val="18"/>
          <w:szCs w:val="18"/>
          <w:lang w:val="en-US"/>
        </w:rPr>
        <w:t>的合法的、有资质的</w:t>
      </w:r>
      <w:r>
        <w:rPr>
          <w:rFonts w:hint="eastAsia" w:ascii="楷体_GB2312" w:eastAsia="楷体_GB2312" w:hAnsiTheme="minorEastAsia"/>
          <w:sz w:val="18"/>
          <w:szCs w:val="18"/>
          <w:lang w:val="en-US" w:eastAsia="zh-CN"/>
        </w:rPr>
        <w:t>健康管理机构</w:t>
      </w:r>
      <w:r>
        <w:rPr>
          <w:rFonts w:hint="eastAsia" w:ascii="楷体_GB2312" w:eastAsia="楷体_GB2312" w:hAnsiTheme="minorEastAsia"/>
          <w:sz w:val="18"/>
          <w:szCs w:val="18"/>
          <w:lang w:val="en-US"/>
        </w:rPr>
        <w:t>。</w:t>
      </w:r>
      <w:r>
        <w:rPr>
          <w:rFonts w:hint="eastAsia" w:ascii="楷体_GB2312" w:eastAsia="楷体_GB2312" w:hAnsiTheme="minorEastAsia"/>
          <w:b w:val="0"/>
          <w:bCs/>
          <w:sz w:val="18"/>
          <w:szCs w:val="18"/>
          <w:shd w:val="clear" w:color="auto" w:fill="auto"/>
          <w:lang w:val="en-US"/>
        </w:rPr>
        <w:t>指定健康管理机构</w:t>
      </w:r>
      <w:r>
        <w:rPr>
          <w:rFonts w:hint="eastAsia" w:eastAsia="楷体_GB2312"/>
          <w:b w:val="0"/>
          <w:bCs/>
          <w:lang w:val="en-US"/>
        </w:rPr>
        <w:t>的最新版本将在本公司官网-</w:t>
      </w:r>
      <w:r>
        <w:rPr>
          <w:rFonts w:hint="eastAsia" w:eastAsia="楷体_GB2312"/>
          <w:b w:val="0"/>
          <w:bCs/>
          <w:lang w:val="en-US" w:eastAsia="zh-CN"/>
        </w:rPr>
        <w:t>公开信息披露</w:t>
      </w:r>
      <w:r>
        <w:rPr>
          <w:rFonts w:hint="eastAsia" w:eastAsia="楷体_GB2312"/>
          <w:b w:val="0"/>
          <w:bCs/>
          <w:lang w:val="en-US"/>
        </w:rPr>
        <w:t>板块或本保险产品销售平台进行公布。本公司保留对“</w:t>
      </w:r>
      <w:r>
        <w:rPr>
          <w:rFonts w:hint="eastAsia" w:ascii="楷体_GB2312" w:eastAsia="楷体_GB2312" w:hAnsiTheme="minorEastAsia"/>
          <w:b w:val="0"/>
          <w:bCs/>
          <w:sz w:val="18"/>
          <w:szCs w:val="18"/>
          <w:shd w:val="clear" w:color="auto" w:fill="auto"/>
          <w:lang w:val="en-US"/>
        </w:rPr>
        <w:t>指定健康管理机构</w:t>
      </w:r>
      <w:r>
        <w:rPr>
          <w:rFonts w:hint="eastAsia" w:eastAsia="楷体_GB2312"/>
          <w:b w:val="0"/>
          <w:bCs/>
          <w:lang w:val="en-US"/>
        </w:rPr>
        <w:t>”</w:t>
      </w:r>
      <w:r>
        <w:rPr>
          <w:rFonts w:hint="eastAsia" w:eastAsia="楷体_GB2312"/>
          <w:lang w:val="en-US"/>
        </w:rPr>
        <w:t>清单进行变更的权利，具体以被保险人住院起始时的有效版本为准。</w:t>
      </w:r>
    </w:p>
  </w:footnote>
  <w:footnote w:id="17">
    <w:p w14:paraId="1C8F52F5">
      <w:pPr>
        <w:pStyle w:val="10"/>
        <w:snapToGrid w:val="0"/>
        <w:spacing w:after="0"/>
      </w:pPr>
      <w:r>
        <w:rPr>
          <w:rStyle w:val="23"/>
          <w:rFonts w:ascii="黑体" w:hAnsi="黑体" w:eastAsia="黑体"/>
          <w:b/>
        </w:rPr>
        <w:footnoteRef/>
      </w:r>
      <w:r>
        <w:rPr>
          <w:rFonts w:hint="eastAsia" w:ascii="楷体_GB2312" w:eastAsia="楷体_GB2312" w:cs="Times New Roman" w:hAnsiTheme="minorEastAsia"/>
          <w:b/>
          <w:sz w:val="18"/>
          <w:szCs w:val="18"/>
        </w:rPr>
        <w:t>保单年度数</w:t>
      </w:r>
      <w:r>
        <w:rPr>
          <w:rFonts w:hint="eastAsia" w:ascii="楷体_GB2312" w:eastAsia="楷体_GB2312" w:cs="Times New Roman" w:hAnsiTheme="minorEastAsia"/>
          <w:sz w:val="18"/>
          <w:szCs w:val="18"/>
        </w:rPr>
        <w:t>指保险单自承保后所处的年度数。承保后首年的保单年度数为1，此后每达到一个</w:t>
      </w:r>
      <w:r>
        <w:rPr>
          <w:rFonts w:hint="eastAsia" w:ascii="楷体_GB2312" w:eastAsia="楷体_GB2312" w:hAnsiTheme="minorEastAsia"/>
          <w:b w:val="0"/>
          <w:color w:val="auto"/>
          <w:lang w:val="en-US" w:eastAsia="zh-CN"/>
        </w:rPr>
        <w:t>合同年生效对应日</w:t>
      </w:r>
      <w:r>
        <w:rPr>
          <w:rFonts w:hint="eastAsia" w:ascii="楷体_GB2312" w:eastAsia="楷体_GB2312" w:cs="Times New Roman" w:hAnsiTheme="minorEastAsia"/>
          <w:sz w:val="18"/>
          <w:szCs w:val="18"/>
        </w:rPr>
        <w:t>，保单年度数增加1。</w:t>
      </w:r>
    </w:p>
  </w:footnote>
  <w:footnote w:id="18">
    <w:p w14:paraId="330B5C79">
      <w:pPr>
        <w:pStyle w:val="10"/>
        <w:spacing w:after="0" w:line="0" w:lineRule="atLeast"/>
        <w:jc w:val="both"/>
        <w:rPr>
          <w:rFonts w:ascii="楷体_GB2312" w:eastAsia="楷体_GB2312" w:hAnsiTheme="minorEastAsia"/>
          <w:b/>
        </w:rPr>
      </w:pPr>
      <w:r>
        <w:rPr>
          <w:rStyle w:val="23"/>
          <w:rFonts w:ascii="楷体_GB2312" w:eastAsia="楷体_GB2312"/>
          <w:b/>
        </w:rPr>
        <w:footnoteRef/>
      </w:r>
      <w:r>
        <w:rPr>
          <w:rFonts w:hint="eastAsia" w:ascii="楷体_GB2312" w:hAnsi="楷体" w:eastAsia="楷体_GB2312"/>
          <w:b/>
        </w:rPr>
        <w:t>殴斗</w:t>
      </w:r>
      <w:r>
        <w:rPr>
          <w:rFonts w:hint="eastAsia" w:ascii="楷体_GB2312" w:hAnsi="楷体" w:eastAsia="楷体_GB2312"/>
        </w:rPr>
        <w:t>指因被保险人挑衅</w:t>
      </w:r>
      <w:r>
        <w:rPr>
          <w:rFonts w:hint="eastAsia" w:ascii="楷体_GB2312" w:eastAsia="楷体_GB2312" w:hAnsiTheme="minorEastAsia"/>
          <w:bCs/>
        </w:rPr>
        <w:t>或故意行为而导致的打斗。</w:t>
      </w:r>
    </w:p>
  </w:footnote>
  <w:footnote w:id="19">
    <w:p w14:paraId="71512049">
      <w:pPr>
        <w:pStyle w:val="10"/>
        <w:spacing w:after="0" w:line="220" w:lineRule="atLeast"/>
        <w:rPr>
          <w:rFonts w:ascii="楷体_GB2312" w:hAnsi="宋体" w:eastAsia="楷体_GB2312"/>
          <w:b/>
        </w:rPr>
      </w:pPr>
      <w:r>
        <w:rPr>
          <w:rStyle w:val="23"/>
          <w:rFonts w:hint="eastAsia" w:ascii="楷体_GB2312" w:eastAsia="楷体_GB2312"/>
          <w:b/>
        </w:rPr>
        <w:footnoteRef/>
      </w:r>
      <w:r>
        <w:rPr>
          <w:rFonts w:hint="eastAsia" w:ascii="楷体_GB2312" w:hAnsi="宋体" w:eastAsia="楷体_GB2312"/>
          <w:b/>
        </w:rPr>
        <w:t>醉酒</w:t>
      </w:r>
      <w:r>
        <w:rPr>
          <w:rFonts w:hint="eastAsia" w:ascii="楷体_GB2312" w:hAnsi="宋体" w:eastAsia="楷体_GB2312"/>
        </w:rPr>
        <w:t>指每百毫升血液的酒精含量大于或等于8</w:t>
      </w:r>
      <w:r>
        <w:rPr>
          <w:rFonts w:ascii="楷体_GB2312" w:hAnsi="宋体" w:eastAsia="楷体_GB2312"/>
        </w:rPr>
        <w:t>0毫克。</w:t>
      </w:r>
      <w:r>
        <w:rPr>
          <w:rFonts w:hint="eastAsia" w:ascii="楷体_GB2312" w:hAnsi="宋体" w:eastAsia="楷体_GB2312"/>
        </w:rPr>
        <w:t>醉酒的认定如有司法机关、公安部门的有关法律文件、医院的诊断书等，则以上述法律文件、诊断书等为准。</w:t>
      </w:r>
    </w:p>
  </w:footnote>
  <w:footnote w:id="20">
    <w:p w14:paraId="28AFACCD">
      <w:pPr>
        <w:pStyle w:val="10"/>
        <w:spacing w:after="0" w:line="220" w:lineRule="atLeast"/>
        <w:ind w:left="2"/>
        <w:jc w:val="both"/>
      </w:pPr>
      <w:r>
        <w:rPr>
          <w:rStyle w:val="23"/>
          <w:rFonts w:hint="eastAsia" w:ascii="楷体_GB2312" w:eastAsia="楷体_GB2312"/>
          <w:b/>
        </w:rPr>
        <w:footnoteRef/>
      </w:r>
      <w:r>
        <w:rPr>
          <w:rFonts w:hint="eastAsia" w:ascii="楷体_GB2312" w:eastAsia="楷体_GB2312" w:hAnsiTheme="minorEastAsia"/>
          <w:b/>
        </w:rPr>
        <w:t>毒品</w:t>
      </w:r>
      <w:r>
        <w:rPr>
          <w:rFonts w:hint="eastAsia" w:ascii="楷体_GB2312" w:eastAsia="楷体_GB2312" w:hAnsiTheme="minorEastAsia"/>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footnote>
  <w:footnote w:id="21">
    <w:p w14:paraId="6DDDEC43">
      <w:pPr>
        <w:pStyle w:val="10"/>
        <w:spacing w:after="0" w:line="220" w:lineRule="atLeast"/>
        <w:jc w:val="both"/>
        <w:rPr>
          <w:rFonts w:ascii="楷体_GB2312" w:eastAsia="楷体_GB2312" w:hAnsiTheme="minorEastAsia"/>
        </w:rPr>
      </w:pPr>
      <w:r>
        <w:rPr>
          <w:rStyle w:val="23"/>
          <w:rFonts w:hint="eastAsia" w:ascii="楷体_GB2312" w:eastAsia="楷体_GB2312"/>
          <w:b/>
        </w:rPr>
        <w:footnoteRef/>
      </w:r>
      <w:r>
        <w:rPr>
          <w:rFonts w:hint="eastAsia" w:ascii="楷体_GB2312" w:eastAsia="楷体_GB2312" w:hAnsiTheme="minorEastAsia"/>
          <w:b/>
        </w:rPr>
        <w:t>酒后驾驶</w:t>
      </w:r>
      <w:r>
        <w:rPr>
          <w:rFonts w:hint="eastAsia" w:ascii="楷体_GB2312" w:eastAsia="楷体_GB2312" w:hAnsiTheme="minorEastAsia"/>
        </w:rPr>
        <w:t>指经检测或鉴定，发生事故时车辆驾驶人员每百毫升血液中的酒精含量达到或超过一定的标准，公安机关交通管理部门依据《中华人民共和国道路交通安全法》的规定认定为饮酒后驾驶或醉酒后驾驶。</w:t>
      </w:r>
    </w:p>
  </w:footnote>
  <w:footnote w:id="22">
    <w:p w14:paraId="5E41C9EE">
      <w:pPr>
        <w:spacing w:line="220" w:lineRule="atLeast"/>
        <w:rPr>
          <w:rFonts w:ascii="宋体" w:hAnsi="宋体"/>
        </w:rPr>
      </w:pPr>
      <w:r>
        <w:rPr>
          <w:rStyle w:val="23"/>
          <w:rFonts w:hint="eastAsia" w:ascii="楷体_GB2312" w:eastAsia="楷体_GB2312"/>
          <w:b/>
          <w:sz w:val="18"/>
          <w:szCs w:val="18"/>
        </w:rPr>
        <w:footnoteRef/>
      </w:r>
      <w:r>
        <w:rPr>
          <w:rFonts w:hint="eastAsia" w:ascii="楷体_GB2312" w:eastAsia="楷体_GB2312"/>
          <w:b/>
          <w:sz w:val="18"/>
          <w:szCs w:val="18"/>
        </w:rPr>
        <w:t>无合法有效驾驶证驾驶</w:t>
      </w:r>
      <w:r>
        <w:rPr>
          <w:rFonts w:hint="eastAsia" w:ascii="楷体_GB2312" w:hAnsi="宋体" w:eastAsia="楷体_GB2312"/>
          <w:sz w:val="18"/>
          <w:szCs w:val="18"/>
        </w:rPr>
        <w:t>指下列情形之一：</w:t>
      </w:r>
    </w:p>
    <w:p w14:paraId="6462CAD2">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（1）</w:t>
      </w:r>
      <w:r>
        <w:rPr>
          <w:rFonts w:hint="eastAsia" w:ascii="楷体_GB2312" w:hAnsi="宋体" w:eastAsia="楷体_GB2312"/>
          <w:sz w:val="18"/>
          <w:szCs w:val="18"/>
        </w:rPr>
        <w:t>没有取得驾驶资格的情况下驾驶任何按中华人民共和国法律法规规定应当持有驾驶资格才能够驾驶的交通工具或在驾驶此等交通工具时驾驶资格证件处于暂扣、吊销或注销状态</w:t>
      </w:r>
      <w:r>
        <w:rPr>
          <w:rFonts w:hint="eastAsia" w:ascii="楷体_GB2312" w:hAnsi="宋体" w:eastAsia="楷体_GB2312"/>
          <w:bCs/>
          <w:sz w:val="18"/>
          <w:szCs w:val="18"/>
        </w:rPr>
        <w:t>；</w:t>
      </w:r>
    </w:p>
    <w:p w14:paraId="53B8D038">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（2）驾驶与驾驶资格不符合的交通工具或进行与驾驶资格不符合的交通运输行为，如驾驶与所持机动车驾驶证准驾车型不相符合的机动车；</w:t>
      </w:r>
    </w:p>
    <w:p w14:paraId="7025D1AC">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（3）持审验不合格的驾驶证或持应审验未审验的驾驶证驾驶；</w:t>
      </w:r>
    </w:p>
    <w:p w14:paraId="3194A60E">
      <w:pPr>
        <w:pStyle w:val="10"/>
        <w:spacing w:after="0" w:line="220" w:lineRule="atLeast"/>
        <w:jc w:val="both"/>
      </w:pPr>
      <w:r>
        <w:rPr>
          <w:rFonts w:hint="eastAsia" w:ascii="楷体_GB2312" w:hAnsi="宋体" w:eastAsia="楷体_GB2312"/>
          <w:bCs/>
        </w:rPr>
        <w:t>（4）持学习驾驶证学习驾车时，无教练员随车指导，或不按指定时间、路线学习驾车。</w:t>
      </w:r>
    </w:p>
  </w:footnote>
  <w:footnote w:id="23">
    <w:p w14:paraId="7FCCEC50">
      <w:pPr>
        <w:pStyle w:val="10"/>
        <w:spacing w:after="0" w:line="220" w:lineRule="atLeast"/>
        <w:jc w:val="both"/>
        <w:rPr>
          <w:rFonts w:ascii="楷体_GB2312" w:eastAsia="楷体_GB2312"/>
        </w:rPr>
      </w:pPr>
      <w:r>
        <w:rPr>
          <w:rStyle w:val="23"/>
          <w:rFonts w:hint="eastAsia" w:ascii="楷体_GB2312" w:eastAsia="楷体_GB2312"/>
          <w:b/>
        </w:rPr>
        <w:footnoteRef/>
      </w:r>
      <w:r>
        <w:rPr>
          <w:rFonts w:hint="eastAsia" w:ascii="楷体_GB2312" w:eastAsia="楷体_GB2312"/>
          <w:b/>
        </w:rPr>
        <w:t>驾驶无有效行驶证的交通工具</w:t>
      </w:r>
      <w:r>
        <w:rPr>
          <w:rFonts w:hint="eastAsia" w:ascii="楷体_GB2312" w:eastAsia="楷体_GB2312"/>
        </w:rPr>
        <w:t>指以下情形之一：</w:t>
      </w:r>
    </w:p>
    <w:p w14:paraId="7B44A2B6">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（1）被保险人所驾驶的交通工具未按中国法律规定取得行驶证等公共道路、公共水域或空域行驶资格证明；</w:t>
      </w:r>
    </w:p>
    <w:p w14:paraId="66298319">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（2）被保险人所驾驶的交通工具被依法注销登记的；</w:t>
      </w:r>
    </w:p>
    <w:p w14:paraId="11621701">
      <w:pPr>
        <w:adjustRightInd w:val="0"/>
        <w:snapToGrid w:val="0"/>
        <w:spacing w:line="220" w:lineRule="atLeast"/>
        <w:rPr>
          <w:rFonts w:ascii="楷体_GB2312" w:hAnsi="宋体" w:eastAsia="楷体_GB2312"/>
          <w:bCs/>
          <w:sz w:val="18"/>
          <w:szCs w:val="18"/>
        </w:rPr>
      </w:pPr>
      <w:r>
        <w:rPr>
          <w:rFonts w:hint="eastAsia" w:ascii="楷体_GB2312" w:hAnsi="宋体" w:eastAsia="楷体_GB2312"/>
          <w:bCs/>
          <w:sz w:val="18"/>
          <w:szCs w:val="18"/>
        </w:rPr>
        <w:t>（3）被保险人所驾驶的交通工具未依法按时进行或通过机动车安全技术检验等法律规定的定期或不定期安全检验。</w:t>
      </w:r>
    </w:p>
  </w:footnote>
  <w:footnote w:id="24">
    <w:p w14:paraId="112179C1">
      <w:pPr>
        <w:pStyle w:val="10"/>
        <w:spacing w:after="0"/>
      </w:pPr>
      <w:r>
        <w:rPr>
          <w:rStyle w:val="23"/>
          <w:rFonts w:ascii="楷体_GB2312" w:hAnsi="宋体" w:eastAsia="楷体_GB2312"/>
          <w:b/>
        </w:rPr>
        <w:footnoteRef/>
      </w:r>
      <w:r>
        <w:rPr>
          <w:rFonts w:hint="eastAsia" w:ascii="楷体_GB2312" w:eastAsia="楷体_GB2312"/>
          <w:b/>
        </w:rPr>
        <w:t>遗传性疾病</w:t>
      </w:r>
      <w:r>
        <w:rPr>
          <w:rFonts w:hint="eastAsia" w:ascii="楷体_GB2312" w:eastAsia="楷体_GB2312"/>
        </w:rPr>
        <w:t>指</w:t>
      </w:r>
      <w:r>
        <w:rPr>
          <w:rFonts w:hint="eastAsia" w:ascii="楷体_GB2312" w:eastAsia="楷体_GB2312" w:cs="宋体"/>
        </w:rPr>
        <w:t>生殖细胞或受精卵的遗传物质（染色体和基因）发生突变或畸变所引起的疾病，通常具有由亲代传至后代的垂直传递的特征。</w:t>
      </w:r>
    </w:p>
  </w:footnote>
  <w:footnote w:id="25">
    <w:p w14:paraId="19D6B534">
      <w:pPr>
        <w:pStyle w:val="10"/>
        <w:spacing w:after="0" w:line="220" w:lineRule="atLeast"/>
        <w:jc w:val="both"/>
      </w:pPr>
      <w:r>
        <w:rPr>
          <w:rStyle w:val="23"/>
          <w:rFonts w:hint="eastAsia" w:ascii="楷体_GB2312" w:eastAsia="楷体_GB2312"/>
          <w:b/>
        </w:rPr>
        <w:footnoteRef/>
      </w:r>
      <w:r>
        <w:rPr>
          <w:rFonts w:hint="eastAsia" w:ascii="楷体_GB2312" w:eastAsia="楷体_GB2312" w:hAnsiTheme="minorEastAsia"/>
          <w:b/>
        </w:rPr>
        <w:t>先天性畸形、变形或染色体异常</w:t>
      </w:r>
      <w:r>
        <w:rPr>
          <w:rFonts w:hint="eastAsia" w:ascii="楷体_GB2312" w:eastAsia="楷体_GB2312" w:hAnsiTheme="minorEastAsia"/>
        </w:rPr>
        <w:t>指被保险人出生时就具有的畸形、变形或染色体异常。先天性畸形、变形和染色体异常依照世界卫生组织《疾病和有关健康问题的国际统计分类》第十次修订版（ICD-10）确定。</w:t>
      </w:r>
    </w:p>
  </w:footnote>
  <w:footnote w:id="26">
    <w:p w14:paraId="08EAA08C">
      <w:pPr>
        <w:pStyle w:val="10"/>
        <w:spacing w:after="0" w:line="220" w:lineRule="atLeast"/>
        <w:jc w:val="both"/>
        <w:rPr>
          <w:rFonts w:ascii="楷体_GB2312" w:hAnsi="宋体" w:eastAsia="楷体_GB2312"/>
        </w:rPr>
      </w:pPr>
      <w:r>
        <w:rPr>
          <w:rStyle w:val="23"/>
          <w:rFonts w:hint="eastAsia" w:ascii="楷体_GB2312" w:hAnsi="宋体" w:eastAsia="楷体_GB2312"/>
          <w:b/>
        </w:rPr>
        <w:footnoteRef/>
      </w:r>
      <w:r>
        <w:rPr>
          <w:rFonts w:hint="eastAsia" w:ascii="楷体_GB2312" w:hAnsi="宋体" w:eastAsia="楷体_GB2312"/>
          <w:b/>
        </w:rPr>
        <w:t>潜水</w:t>
      </w:r>
      <w:r>
        <w:rPr>
          <w:rFonts w:hint="eastAsia" w:ascii="楷体_GB2312" w:eastAsia="楷体_GB2312"/>
        </w:rPr>
        <w:t>指使用辅助呼吸器材在江、河、湖、海、水库、运河等水域进行的水下运动。</w:t>
      </w:r>
    </w:p>
  </w:footnote>
  <w:footnote w:id="27">
    <w:p w14:paraId="1B7203BB">
      <w:pPr>
        <w:pStyle w:val="10"/>
        <w:spacing w:after="0" w:line="220" w:lineRule="atLeast"/>
        <w:jc w:val="both"/>
        <w:rPr>
          <w:rFonts w:ascii="楷体_GB2312" w:hAnsi="宋体" w:eastAsia="楷体_GB2312"/>
        </w:rPr>
      </w:pPr>
      <w:r>
        <w:rPr>
          <w:rStyle w:val="23"/>
          <w:rFonts w:hint="eastAsia" w:ascii="楷体_GB2312" w:hAnsi="宋体" w:eastAsia="楷体_GB2312"/>
          <w:b/>
        </w:rPr>
        <w:footnoteRef/>
      </w:r>
      <w:r>
        <w:rPr>
          <w:rFonts w:hint="eastAsia" w:ascii="楷体_GB2312" w:hAnsi="宋体" w:eastAsia="楷体_GB2312"/>
          <w:b/>
        </w:rPr>
        <w:t>攀岩</w:t>
      </w:r>
      <w:r>
        <w:rPr>
          <w:rFonts w:hint="eastAsia" w:ascii="楷体_GB2312" w:hAnsi="宋体" w:eastAsia="楷体_GB2312"/>
        </w:rPr>
        <w:t>指攀登悬崖、楼宇外墙、人造悬崖、冰崖、冰山等运动。</w:t>
      </w:r>
    </w:p>
  </w:footnote>
  <w:footnote w:id="28">
    <w:p w14:paraId="13CA89FC">
      <w:pPr>
        <w:pStyle w:val="10"/>
        <w:spacing w:after="0" w:line="220" w:lineRule="atLeast"/>
        <w:ind w:left="1"/>
        <w:jc w:val="both"/>
        <w:rPr>
          <w:rFonts w:ascii="楷体_GB2312" w:hAnsi="宋体" w:eastAsia="楷体_GB2312"/>
        </w:rPr>
      </w:pPr>
      <w:r>
        <w:rPr>
          <w:rStyle w:val="23"/>
          <w:rFonts w:hint="eastAsia" w:ascii="楷体_GB2312" w:hAnsi="宋体" w:eastAsia="楷体_GB2312"/>
          <w:b/>
        </w:rPr>
        <w:footnoteRef/>
      </w:r>
      <w:r>
        <w:rPr>
          <w:rFonts w:hint="eastAsia" w:ascii="楷体_GB2312" w:hAnsi="宋体" w:eastAsia="楷体_GB2312"/>
          <w:b/>
        </w:rPr>
        <w:t>探险</w:t>
      </w:r>
      <w:r>
        <w:rPr>
          <w:rFonts w:hint="eastAsia" w:ascii="楷体_GB2312" w:hAnsi="宋体" w:eastAsia="楷体_GB2312"/>
        </w:rPr>
        <w:t>指明知在某种特定的人工或自然条件下有失去生命或使身体受到伤害的危险，而故意使自己置身于其中的行为，如：攀爬建筑物、在离地超过10米的建筑物的顶部或建筑物外无护栏部位逗留、江河漂流、登山、徒步穿越沙漠或人迹罕至的原始森林等活动。</w:t>
      </w:r>
    </w:p>
  </w:footnote>
  <w:footnote w:id="29">
    <w:p w14:paraId="101F5BF5">
      <w:pPr>
        <w:pStyle w:val="10"/>
        <w:spacing w:after="0" w:line="220" w:lineRule="atLeast"/>
        <w:jc w:val="both"/>
        <w:rPr>
          <w:rFonts w:ascii="楷体_GB2312" w:hAnsi="宋体" w:eastAsia="楷体_GB2312"/>
        </w:rPr>
      </w:pPr>
      <w:r>
        <w:rPr>
          <w:rStyle w:val="23"/>
          <w:rFonts w:hint="eastAsia" w:ascii="楷体_GB2312" w:hAnsi="宋体" w:eastAsia="楷体_GB2312"/>
          <w:b/>
        </w:rPr>
        <w:footnoteRef/>
      </w:r>
      <w:r>
        <w:rPr>
          <w:rFonts w:hint="eastAsia" w:ascii="楷体_GB2312" w:hAnsi="宋体" w:eastAsia="楷体_GB2312"/>
          <w:b/>
        </w:rPr>
        <w:t>武术比赛</w:t>
      </w:r>
      <w:r>
        <w:rPr>
          <w:rFonts w:hint="eastAsia" w:ascii="楷体_GB2312" w:hAnsi="宋体" w:eastAsia="楷体_GB2312"/>
        </w:rPr>
        <w:t>指两人或两人以上对抗性柔道、空手道、跆拳道、散打、拳击等各种拳术及使用器械的对抗性比赛。</w:t>
      </w:r>
    </w:p>
  </w:footnote>
  <w:footnote w:id="30">
    <w:p w14:paraId="40481A24">
      <w:pPr>
        <w:pStyle w:val="10"/>
        <w:spacing w:after="0" w:line="220" w:lineRule="atLeast"/>
        <w:jc w:val="both"/>
        <w:rPr>
          <w:rFonts w:ascii="楷体_GB2312" w:hAnsi="宋体" w:eastAsia="楷体_GB2312"/>
        </w:rPr>
      </w:pPr>
      <w:r>
        <w:rPr>
          <w:rStyle w:val="23"/>
          <w:rFonts w:hint="eastAsia" w:ascii="楷体_GB2312" w:hAnsi="宋体" w:eastAsia="楷体_GB2312"/>
          <w:b/>
        </w:rPr>
        <w:footnoteRef/>
      </w:r>
      <w:r>
        <w:rPr>
          <w:rFonts w:hint="eastAsia" w:ascii="楷体_GB2312" w:hAnsi="宋体" w:eastAsia="楷体_GB2312"/>
          <w:b/>
        </w:rPr>
        <w:t>特技表演</w:t>
      </w:r>
      <w:r>
        <w:rPr>
          <w:rFonts w:hint="eastAsia" w:ascii="楷体_GB2312" w:eastAsia="楷体_GB2312"/>
        </w:rPr>
        <w:t>指进行马术、杂技、飞车、驯兽等表演。</w:t>
      </w:r>
    </w:p>
  </w:footnote>
  <w:footnote w:id="31">
    <w:p w14:paraId="69C85B98">
      <w:pPr>
        <w:pStyle w:val="10"/>
        <w:spacing w:after="0" w:line="220" w:lineRule="exact"/>
        <w:rPr>
          <w:rFonts w:hint="default" w:ascii="楷体_GB2312" w:hAnsi="宋体" w:eastAsia="楷体_GB2312"/>
          <w:highlight w:val="yellow"/>
          <w:lang w:val="en-US" w:eastAsia="zh-CN"/>
        </w:rPr>
      </w:pPr>
      <w:r>
        <w:rPr>
          <w:rStyle w:val="23"/>
          <w:rFonts w:ascii="楷体_GB2312" w:eastAsia="楷体_GB2312"/>
          <w:b/>
        </w:rPr>
        <w:footnoteRef/>
      </w:r>
      <w:r>
        <w:rPr>
          <w:rFonts w:hint="eastAsia" w:ascii="楷体_GB2312" w:hAnsi="宋体" w:eastAsia="楷体_GB2312"/>
          <w:b/>
          <w:lang w:val="en-US" w:eastAsia="zh-CN"/>
        </w:rPr>
        <w:t>滋补类中草药</w:t>
      </w:r>
      <w:r>
        <w:rPr>
          <w:rFonts w:hint="eastAsia" w:ascii="楷体_GB2312" w:hAnsi="宋体" w:eastAsia="楷体_GB2312"/>
          <w:sz w:val="18"/>
          <w:szCs w:val="18"/>
          <w:lang w:val="en-US"/>
        </w:rPr>
        <w:t>指以提高人体免疫力为主要用途使用的</w:t>
      </w:r>
      <w:r>
        <w:rPr>
          <w:rFonts w:hint="eastAsia" w:ascii="楷体_GB2312" w:hAnsi="宋体" w:eastAsia="楷体_GB2312"/>
          <w:sz w:val="18"/>
          <w:szCs w:val="18"/>
          <w:lang w:val="en-US" w:eastAsia="zh-CN"/>
        </w:rPr>
        <w:t>中药材、中药饮片</w:t>
      </w:r>
      <w:r>
        <w:rPr>
          <w:rFonts w:hint="eastAsia" w:ascii="楷体_GB2312" w:hAnsi="宋体" w:eastAsia="楷体_GB2312"/>
          <w:sz w:val="18"/>
          <w:szCs w:val="18"/>
          <w:lang w:val="en-US"/>
        </w:rPr>
        <w:t>，</w:t>
      </w:r>
      <w:r>
        <w:rPr>
          <w:rFonts w:hint="eastAsia" w:ascii="楷体_GB2312" w:hAnsi="宋体" w:eastAsia="楷体_GB2312"/>
          <w:sz w:val="18"/>
          <w:szCs w:val="18"/>
          <w:highlight w:val="none"/>
          <w:lang w:val="en-US"/>
        </w:rPr>
        <w:t>包括但不限于人参、阿胶、鹿角胶、龟鹿二仙胶、龟板胶、鳖甲胶、马宝、珊瑚、玳瑁、冬虫夏草、藏红花、羚羊</w:t>
      </w:r>
      <w:r>
        <w:rPr>
          <w:rFonts w:hint="eastAsia" w:ascii="楷体_GB2312" w:hAnsi="宋体" w:eastAsia="楷体_GB2312"/>
          <w:sz w:val="18"/>
          <w:szCs w:val="18"/>
          <w:highlight w:val="none"/>
          <w:lang w:val="en-US" w:eastAsia="zh-CN"/>
        </w:rPr>
        <w:t>角</w:t>
      </w:r>
      <w:r>
        <w:rPr>
          <w:rFonts w:hint="eastAsia" w:ascii="楷体_GB2312" w:hAnsi="宋体" w:eastAsia="楷体_GB2312"/>
          <w:sz w:val="18"/>
          <w:szCs w:val="18"/>
          <w:highlight w:val="none"/>
          <w:lang w:val="en-US"/>
        </w:rPr>
        <w:t>、犀角、牛黄、麝香、鹿茸、铁皮枫斗</w:t>
      </w:r>
      <w:r>
        <w:rPr>
          <w:rFonts w:hint="eastAsia" w:ascii="楷体_GB2312" w:hAnsi="宋体" w:eastAsia="楷体_GB2312"/>
          <w:sz w:val="18"/>
          <w:szCs w:val="18"/>
          <w:highlight w:val="none"/>
          <w:lang w:val="en-US" w:eastAsia="zh-CN"/>
        </w:rPr>
        <w:t>等，</w:t>
      </w:r>
      <w:r>
        <w:rPr>
          <w:rFonts w:hint="eastAsia" w:ascii="楷体_GB2312" w:hAnsi="宋体" w:eastAsia="楷体_GB2312"/>
          <w:sz w:val="18"/>
          <w:szCs w:val="18"/>
          <w:highlight w:val="none"/>
          <w:lang w:val="en-US"/>
        </w:rPr>
        <w:t>以及使用中药材或中药饮片炮制的各类酒制剂。</w:t>
      </w:r>
    </w:p>
  </w:footnote>
  <w:footnote w:id="32">
    <w:p w14:paraId="2BA22D17">
      <w:pPr>
        <w:pStyle w:val="10"/>
        <w:snapToGrid w:val="0"/>
        <w:spacing w:after="0"/>
      </w:pPr>
      <w:r>
        <w:rPr>
          <w:rStyle w:val="23"/>
          <w:rFonts w:ascii="黑体" w:hAnsi="黑体" w:eastAsia="黑体"/>
          <w:b/>
        </w:rPr>
        <w:footnoteRef/>
      </w:r>
      <w:r>
        <w:rPr>
          <w:rFonts w:hint="eastAsia" w:ascii="楷体_GB2312" w:eastAsia="楷体_GB2312" w:hAnsiTheme="minorEastAsia"/>
          <w:b/>
          <w:sz w:val="18"/>
          <w:szCs w:val="18"/>
          <w:shd w:val="clear" w:color="auto" w:fill="auto"/>
          <w:lang w:val="en-US"/>
        </w:rPr>
        <w:t>指定互联网</w:t>
      </w:r>
      <w:r>
        <w:rPr>
          <w:rFonts w:hint="eastAsia" w:ascii="楷体_GB2312" w:eastAsia="楷体_GB2312" w:hAnsiTheme="minorEastAsia"/>
          <w:b/>
          <w:sz w:val="18"/>
          <w:szCs w:val="18"/>
          <w:shd w:val="clear" w:color="auto" w:fill="auto"/>
          <w:lang w:val="en-US" w:eastAsia="zh-CN"/>
        </w:rPr>
        <w:t>医院</w:t>
      </w:r>
      <w:r>
        <w:rPr>
          <w:rFonts w:hint="eastAsia" w:ascii="楷体_GB2312" w:eastAsia="楷体_GB2312" w:hAnsiTheme="minorEastAsia"/>
          <w:color w:val="auto"/>
          <w:sz w:val="18"/>
          <w:szCs w:val="18"/>
          <w:lang w:val="en-US"/>
        </w:rPr>
        <w:t>指由我们通过指定的互联网渠道引导被保险人</w:t>
      </w:r>
      <w:r>
        <w:rPr>
          <w:rFonts w:hint="eastAsia" w:ascii="楷体_GB2312" w:eastAsia="楷体_GB2312" w:hAnsiTheme="minorEastAsia"/>
          <w:color w:val="auto"/>
          <w:sz w:val="18"/>
          <w:szCs w:val="18"/>
          <w:lang w:val="en-US" w:eastAsia="zh-CN"/>
        </w:rPr>
        <w:t>前往</w:t>
      </w:r>
      <w:r>
        <w:rPr>
          <w:rFonts w:hint="eastAsia" w:ascii="楷体_GB2312" w:eastAsia="楷体_GB2312" w:hAnsiTheme="minorEastAsia"/>
          <w:color w:val="auto"/>
          <w:sz w:val="18"/>
          <w:szCs w:val="18"/>
          <w:lang w:val="en-US"/>
        </w:rPr>
        <w:t>的合法的、有资质的互联网</w:t>
      </w:r>
      <w:r>
        <w:rPr>
          <w:rFonts w:hint="eastAsia" w:ascii="楷体_GB2312" w:eastAsia="楷体_GB2312" w:hAnsiTheme="minorEastAsia"/>
          <w:color w:val="auto"/>
          <w:sz w:val="18"/>
          <w:szCs w:val="18"/>
          <w:lang w:val="en-US" w:eastAsia="zh-CN"/>
        </w:rPr>
        <w:t>医疗机构</w:t>
      </w:r>
      <w:r>
        <w:rPr>
          <w:rFonts w:hint="eastAsia" w:ascii="楷体_GB2312" w:eastAsia="楷体_GB2312" w:hAnsiTheme="minorEastAsia"/>
          <w:color w:val="auto"/>
          <w:sz w:val="18"/>
          <w:szCs w:val="18"/>
          <w:lang w:val="en-US"/>
        </w:rPr>
        <w:t>。</w:t>
      </w:r>
    </w:p>
  </w:footnote>
  <w:footnote w:id="33">
    <w:p w14:paraId="5A8B93A9">
      <w:pPr>
        <w:pStyle w:val="10"/>
        <w:spacing w:after="0" w:line="220" w:lineRule="exact"/>
        <w:jc w:val="both"/>
        <w:rPr>
          <w:rFonts w:ascii="楷体_GB2312" w:hAnsi="宋体" w:eastAsia="楷体_GB2312"/>
        </w:rPr>
      </w:pPr>
      <w:r>
        <w:rPr>
          <w:rStyle w:val="23"/>
          <w:rFonts w:ascii="楷体_GB2312" w:eastAsia="楷体_GB2312"/>
          <w:b/>
        </w:rPr>
        <w:footnoteRef/>
      </w:r>
      <w:r>
        <w:rPr>
          <w:rFonts w:hint="eastAsia" w:ascii="楷体_GB2312" w:hAnsi="宋体" w:eastAsia="楷体_GB2312"/>
          <w:b/>
        </w:rPr>
        <w:t>保险费约定支付日</w:t>
      </w:r>
      <w:r>
        <w:rPr>
          <w:rFonts w:hint="eastAsia" w:ascii="楷体_GB2312" w:hAnsi="宋体" w:eastAsia="楷体_GB2312"/>
        </w:rPr>
        <w:t>指保险期间开始日在每年的对应日，具体根据缴费方式确定，如果当</w:t>
      </w:r>
      <w:r>
        <w:rPr>
          <w:rFonts w:hint="eastAsia" w:ascii="楷体_GB2312" w:hAnsi="宋体" w:eastAsia="楷体_GB2312"/>
          <w:lang w:val="en-US"/>
        </w:rPr>
        <w:t>年</w:t>
      </w:r>
      <w:r>
        <w:rPr>
          <w:rFonts w:hint="eastAsia" w:ascii="楷体_GB2312" w:hAnsi="宋体" w:eastAsia="楷体_GB2312"/>
        </w:rPr>
        <w:t>无对应的同一日，则以该</w:t>
      </w:r>
      <w:r>
        <w:rPr>
          <w:rFonts w:hint="eastAsia" w:ascii="楷体_GB2312" w:hAnsi="宋体" w:eastAsia="楷体_GB2312"/>
          <w:lang w:val="en-US"/>
        </w:rPr>
        <w:t>年</w:t>
      </w:r>
      <w:r>
        <w:rPr>
          <w:rFonts w:hint="eastAsia" w:ascii="楷体_GB2312" w:hAnsi="宋体" w:eastAsia="楷体_GB2312"/>
        </w:rPr>
        <w:t>最后一日为对应日。</w:t>
      </w:r>
    </w:p>
  </w:footnote>
  <w:footnote w:id="34">
    <w:p w14:paraId="3CE43A81">
      <w:pPr>
        <w:pStyle w:val="10"/>
        <w:spacing w:after="0" w:line="220" w:lineRule="atLeast"/>
        <w:jc w:val="both"/>
        <w:rPr>
          <w:rFonts w:hint="eastAsia" w:eastAsia="楷体_GB2312"/>
          <w:highlight w:val="yellow"/>
          <w:lang w:eastAsia="zh-CN"/>
        </w:rPr>
      </w:pPr>
      <w:r>
        <w:rPr>
          <w:rStyle w:val="23"/>
          <w:rFonts w:hint="eastAsia" w:ascii="楷体_GB2312" w:eastAsia="楷体_GB2312"/>
          <w:b/>
        </w:rPr>
        <w:footnoteRef/>
      </w:r>
      <w:r>
        <w:rPr>
          <w:rFonts w:hint="eastAsia" w:ascii="楷体_GB2312" w:hAnsi="宋体" w:eastAsia="楷体_GB2312" w:cs="Times New Roman"/>
          <w:b/>
          <w:lang w:val="en-US" w:eastAsia="zh-CN"/>
        </w:rPr>
        <w:t>提供</w:t>
      </w:r>
      <w:r>
        <w:rPr>
          <w:rFonts w:hint="eastAsia" w:ascii="楷体_GB2312" w:hAnsi="宋体" w:eastAsia="楷体_GB2312"/>
          <w:b/>
        </w:rPr>
        <w:t>直接结算</w:t>
      </w:r>
      <w:r>
        <w:rPr>
          <w:rFonts w:hint="eastAsia" w:ascii="楷体_GB2312" w:hAnsi="宋体" w:eastAsia="楷体_GB2312"/>
          <w:b/>
          <w:lang w:val="en-US" w:eastAsia="zh-CN"/>
        </w:rPr>
        <w:t>服务的</w:t>
      </w:r>
      <w:r>
        <w:rPr>
          <w:rFonts w:hint="eastAsia" w:ascii="楷体_GB2312" w:hAnsi="宋体" w:eastAsia="楷体_GB2312"/>
          <w:b/>
        </w:rPr>
        <w:t>医</w:t>
      </w:r>
      <w:r>
        <w:rPr>
          <w:rFonts w:hint="eastAsia" w:ascii="楷体_GB2312" w:hAnsi="宋体" w:eastAsia="楷体_GB2312"/>
          <w:b/>
          <w:lang w:val="en-US" w:eastAsia="zh-CN"/>
        </w:rPr>
        <w:t>疗机构：</w:t>
      </w:r>
      <w:r>
        <w:rPr>
          <w:rFonts w:hint="eastAsia" w:ascii="楷体_GB2312" w:hAnsi="宋体" w:eastAsia="楷体_GB2312"/>
        </w:rPr>
        <w:t>指在本</w:t>
      </w:r>
      <w:r>
        <w:rPr>
          <w:rFonts w:hint="eastAsia" w:ascii="楷体_GB2312" w:hAnsi="宋体" w:eastAsia="楷体_GB2312"/>
          <w:lang w:val="en-US" w:eastAsia="zh-CN"/>
        </w:rPr>
        <w:t>主</w:t>
      </w:r>
      <w:r>
        <w:rPr>
          <w:rFonts w:hint="eastAsia" w:ascii="楷体_GB2312" w:hAnsi="宋体" w:eastAsia="楷体_GB2312"/>
        </w:rPr>
        <w:t>险合同中列明的可提供直接结算服务的医</w:t>
      </w:r>
      <w:r>
        <w:rPr>
          <w:rFonts w:hint="eastAsia" w:ascii="楷体_GB2312" w:hAnsi="宋体" w:eastAsia="楷体_GB2312"/>
          <w:lang w:val="en-US" w:eastAsia="zh-CN"/>
        </w:rPr>
        <w:t>疗机构</w:t>
      </w:r>
      <w:r>
        <w:rPr>
          <w:rFonts w:hint="eastAsia" w:ascii="楷体_GB2312" w:hAnsi="宋体" w:eastAsia="楷体_GB2312"/>
        </w:rPr>
        <w:t>。直接结算医院发生变更时，您可以通过我们的服务电话或网站查询</w:t>
      </w:r>
      <w:r>
        <w:rPr>
          <w:rFonts w:hint="eastAsia" w:ascii="楷体_GB2312" w:hAnsi="宋体" w:eastAsia="楷体_GB2312"/>
          <w:lang w:eastAsia="zh-CN"/>
        </w:rPr>
        <w:t>。</w:t>
      </w:r>
    </w:p>
  </w:footnote>
  <w:footnote w:id="35">
    <w:p w14:paraId="63B535CC">
      <w:pPr>
        <w:pStyle w:val="10"/>
        <w:spacing w:after="0" w:line="220" w:lineRule="atLeast"/>
        <w:rPr>
          <w:rFonts w:ascii="楷体_GB2312" w:hAnsi="Calibri" w:eastAsia="楷体_GB2312" w:cs="宋体"/>
          <w:color w:val="000000"/>
          <w:lang w:val="en-US" w:eastAsia="zh-CN"/>
        </w:rPr>
      </w:pPr>
      <w:r>
        <w:rPr>
          <w:rStyle w:val="23"/>
          <w:rFonts w:ascii="楷体_GB2312" w:eastAsia="楷体_GB2312"/>
          <w:b/>
        </w:rPr>
        <w:footnoteRef/>
      </w:r>
      <w:r>
        <w:rPr>
          <w:rFonts w:hint="eastAsia" w:ascii="楷体_GB2312" w:hAnsi="Calibri" w:eastAsia="楷体_GB2312" w:cs="宋体"/>
          <w:b/>
          <w:color w:val="000000"/>
          <w:lang w:val="en-US" w:eastAsia="zh-CN"/>
        </w:rPr>
        <w:t>肢体</w:t>
      </w:r>
      <w:r>
        <w:rPr>
          <w:rFonts w:hint="eastAsia" w:ascii="楷体_GB2312" w:hAnsi="Calibri" w:eastAsia="楷体_GB2312" w:cs="宋体"/>
          <w:color w:val="000000"/>
          <w:lang w:val="en-US" w:eastAsia="zh-CN"/>
        </w:rPr>
        <w:t>指</w:t>
      </w:r>
      <w:r>
        <w:rPr>
          <w:rFonts w:ascii="楷体_GB2312" w:hAnsi="Calibri" w:eastAsia="楷体_GB2312" w:cs="宋体"/>
          <w:color w:val="000000"/>
          <w:lang w:val="en-US" w:eastAsia="zh-CN"/>
        </w:rPr>
        <w:t>包括肩关节的整个上肢或包括髋关节的整个下肢。</w:t>
      </w:r>
    </w:p>
  </w:footnote>
  <w:footnote w:id="36">
    <w:p w14:paraId="11AF255F">
      <w:pPr>
        <w:pStyle w:val="36"/>
        <w:snapToGrid w:val="0"/>
        <w:spacing w:line="220" w:lineRule="atLeast"/>
        <w:rPr>
          <w:rFonts w:ascii="楷体_GB2312" w:eastAsia="楷体_GB2312"/>
          <w:sz w:val="18"/>
          <w:szCs w:val="18"/>
        </w:rPr>
      </w:pPr>
      <w:r>
        <w:rPr>
          <w:rStyle w:val="23"/>
          <w:rFonts w:ascii="楷体_GB2312" w:hAnsi="Tahoma" w:eastAsia="楷体_GB2312" w:cs="Times New Roman"/>
          <w:b/>
          <w:bCs w:val="0"/>
          <w:color w:val="auto"/>
          <w:sz w:val="18"/>
          <w:szCs w:val="18"/>
          <w:lang w:val="zh-CN" w:eastAsia="zh-CN"/>
        </w:rPr>
        <w:footnoteRef/>
      </w:r>
      <w:r>
        <w:rPr>
          <w:rFonts w:ascii="楷体_GB2312" w:eastAsia="楷体_GB2312"/>
          <w:b/>
          <w:sz w:val="18"/>
          <w:szCs w:val="18"/>
        </w:rPr>
        <w:t>肌力</w:t>
      </w:r>
      <w:r>
        <w:rPr>
          <w:rFonts w:hint="eastAsia" w:ascii="楷体_GB2312" w:eastAsia="楷体_GB2312"/>
          <w:sz w:val="18"/>
          <w:szCs w:val="18"/>
        </w:rPr>
        <w:t>指</w:t>
      </w:r>
      <w:r>
        <w:rPr>
          <w:rFonts w:ascii="楷体_GB2312" w:eastAsia="楷体_GB2312"/>
          <w:sz w:val="18"/>
          <w:szCs w:val="18"/>
        </w:rPr>
        <w:t>肌肉收缩时的力量。肌力划分为0-5级，具体为：0级：肌肉完全瘫痪，毫无收缩。1级：可看到或者触及肌肉轻微收缩，但不能产生动作。2级：肌肉在不受重力影响下，可进行运动，即肢体能在床面上移动，但不能抬高。3级：在和地心引力相反的方向中尚能完成其动作，但不能对抗外加阻力。4级：能对抗一定的阻力，但较正常人为低。5级：正常肌力。</w:t>
      </w:r>
    </w:p>
  </w:footnote>
  <w:footnote w:id="37">
    <w:p w14:paraId="49D870C0">
      <w:pPr>
        <w:pStyle w:val="36"/>
        <w:snapToGrid w:val="0"/>
        <w:spacing w:line="220" w:lineRule="atLeast"/>
        <w:rPr>
          <w:rFonts w:ascii="楷体_GB2312" w:eastAsia="楷体_GB2312"/>
          <w:sz w:val="18"/>
          <w:szCs w:val="18"/>
        </w:rPr>
      </w:pPr>
      <w:r>
        <w:rPr>
          <w:rStyle w:val="23"/>
          <w:rFonts w:ascii="楷体_GB2312" w:hAnsi="Tahoma" w:eastAsia="楷体_GB2312" w:cs="Times New Roman"/>
          <w:b/>
          <w:bCs/>
          <w:color w:val="auto"/>
          <w:sz w:val="18"/>
          <w:szCs w:val="18"/>
          <w:lang w:val="zh-CN" w:eastAsia="zh-CN"/>
        </w:rPr>
        <w:footnoteRef/>
      </w:r>
      <w:r>
        <w:rPr>
          <w:rFonts w:ascii="楷体_GB2312" w:eastAsia="楷体_GB2312"/>
          <w:b/>
          <w:sz w:val="18"/>
          <w:szCs w:val="18"/>
        </w:rPr>
        <w:t>语言能力完全丧失</w:t>
      </w:r>
      <w:r>
        <w:rPr>
          <w:rFonts w:ascii="楷体_GB2312" w:eastAsia="楷体_GB2312"/>
          <w:sz w:val="18"/>
          <w:szCs w:val="18"/>
        </w:rPr>
        <w:t>指无法发出四种语音（包括口唇音、齿舌音、口盖音和喉头音）中的任何三种、或声带全部切除，或因大脑语言中枢受伤害而患失语症。</w:t>
      </w:r>
    </w:p>
    <w:p w14:paraId="606C9044">
      <w:pPr>
        <w:pStyle w:val="10"/>
        <w:spacing w:after="0" w:line="220" w:lineRule="atLeast"/>
        <w:rPr>
          <w:rFonts w:ascii="楷体_GB2312" w:hAnsi="Calibri" w:eastAsia="楷体_GB2312" w:cs="宋体"/>
          <w:color w:val="000000"/>
          <w:lang w:val="en-US" w:eastAsia="zh-CN"/>
        </w:rPr>
      </w:pPr>
      <w:r>
        <w:rPr>
          <w:rFonts w:ascii="楷体_GB2312" w:hAnsi="Calibri" w:eastAsia="楷体_GB2312" w:cs="宋体"/>
          <w:b/>
          <w:color w:val="000000"/>
          <w:lang w:val="en-US" w:eastAsia="zh-CN"/>
        </w:rPr>
        <w:t>严重咀嚼吞咽功能障碍</w:t>
      </w:r>
      <w:r>
        <w:rPr>
          <w:rFonts w:ascii="楷体_GB2312" w:hAnsi="Calibri" w:eastAsia="楷体_GB2312" w:cs="宋体"/>
          <w:color w:val="000000"/>
          <w:lang w:val="en-US" w:eastAsia="zh-CN"/>
        </w:rPr>
        <w:t>指因牙齿以外的原因导致器质障碍或机能障碍，以致不能作咀嚼吞咽运动，除流质食物外不能摄取或吞咽的状态。</w:t>
      </w:r>
    </w:p>
  </w:footnote>
  <w:footnote w:id="38">
    <w:p w14:paraId="047B7951">
      <w:pPr>
        <w:pStyle w:val="10"/>
        <w:spacing w:after="0" w:line="220" w:lineRule="atLeast"/>
        <w:rPr>
          <w:rFonts w:ascii="楷体_GB2312" w:hAnsi="Calibri" w:eastAsia="楷体_GB2312" w:cs="宋体"/>
          <w:color w:val="000000"/>
          <w:shd w:val="pct15" w:color="auto" w:fill="FFFFFF"/>
          <w:lang w:val="en-US" w:eastAsia="zh-CN"/>
        </w:rPr>
      </w:pPr>
      <w:r>
        <w:rPr>
          <w:rStyle w:val="23"/>
          <w:rFonts w:ascii="楷体_GB2312" w:eastAsia="楷体_GB2312"/>
          <w:b/>
          <w:bCs/>
        </w:rPr>
        <w:footnoteRef/>
      </w:r>
      <w:r>
        <w:rPr>
          <w:rFonts w:hint="eastAsia" w:ascii="楷体_GB2312" w:hAnsi="Calibri" w:eastAsia="楷体_GB2312" w:cs="宋体"/>
          <w:b/>
          <w:color w:val="000000"/>
          <w:lang w:val="en-US" w:eastAsia="zh-CN"/>
        </w:rPr>
        <w:t>六项基本日常生活活动</w:t>
      </w:r>
      <w:r>
        <w:rPr>
          <w:rFonts w:hint="eastAsia" w:ascii="楷体_GB2312" w:hAnsi="Calibri" w:eastAsia="楷体_GB2312" w:cs="宋体"/>
          <w:color w:val="000000"/>
          <w:lang w:val="en-US" w:eastAsia="zh-CN"/>
        </w:rPr>
        <w:t>指</w:t>
      </w:r>
      <w:r>
        <w:rPr>
          <w:rFonts w:ascii="楷体_GB2312" w:hAnsi="Calibri" w:eastAsia="楷体_GB2312" w:cs="宋体"/>
          <w:color w:val="000000"/>
          <w:lang w:val="en-US" w:eastAsia="zh-CN"/>
        </w:rPr>
        <w:t>（1）穿衣：自己能够穿衣及脱衣；（2）移动：自己从一个房间到另一个房间；（3）行动：自己上下床或上下轮椅；（4）如厕：自己控制进行大小便；（5）进食：自己从已准备好的碗或碟中取食物放入口中；（6）洗澡：自己进行淋浴或盆浴。</w:t>
      </w:r>
      <w:r>
        <w:rPr>
          <w:rFonts w:ascii="楷体_GB2312" w:hAnsi="Calibri" w:eastAsia="楷体_GB2312" w:cs="宋体"/>
          <w:color w:val="000000"/>
          <w:shd w:val="pct15" w:color="auto" w:fill="FFFFFF"/>
          <w:lang w:val="en-US" w:eastAsia="zh-CN"/>
        </w:rPr>
        <w:t>六项基本日常生活活动能力的鉴定不适用于0-3周岁幼儿。</w:t>
      </w:r>
    </w:p>
  </w:footnote>
  <w:footnote w:id="39">
    <w:p w14:paraId="7ABB7068">
      <w:pPr>
        <w:pStyle w:val="36"/>
        <w:snapToGrid w:val="0"/>
        <w:spacing w:line="220" w:lineRule="atLeast"/>
        <w:rPr>
          <w:rFonts w:ascii="楷体_GB2312" w:eastAsia="楷体_GB2312"/>
          <w:sz w:val="18"/>
          <w:szCs w:val="18"/>
        </w:rPr>
      </w:pPr>
      <w:r>
        <w:rPr>
          <w:rStyle w:val="23"/>
          <w:rFonts w:ascii="楷体_GB2312" w:hAnsi="Tahoma" w:eastAsia="楷体_GB2312" w:cs="Times New Roman"/>
          <w:b/>
          <w:bCs/>
          <w:color w:val="auto"/>
          <w:sz w:val="18"/>
          <w:szCs w:val="18"/>
          <w:lang w:val="zh-CN" w:eastAsia="zh-CN"/>
        </w:rPr>
        <w:footnoteRef/>
      </w:r>
      <w:r>
        <w:rPr>
          <w:rFonts w:ascii="楷体_GB2312" w:eastAsia="楷体_GB2312"/>
          <w:b/>
          <w:sz w:val="18"/>
          <w:szCs w:val="18"/>
        </w:rPr>
        <w:t>美国纽约心脏病学会（New York Heart Association，NYHA）将心功能状态</w:t>
      </w:r>
      <w:r>
        <w:rPr>
          <w:rFonts w:ascii="楷体_GB2312" w:eastAsia="楷体_GB2312"/>
          <w:sz w:val="18"/>
          <w:szCs w:val="18"/>
        </w:rPr>
        <w:t>分为四级：</w:t>
      </w:r>
    </w:p>
    <w:p w14:paraId="0A490424">
      <w:pPr>
        <w:autoSpaceDE w:val="0"/>
        <w:autoSpaceDN w:val="0"/>
        <w:adjustRightInd w:val="0"/>
        <w:snapToGrid w:val="0"/>
        <w:spacing w:line="220" w:lineRule="atLeast"/>
        <w:jc w:val="left"/>
        <w:rPr>
          <w:rFonts w:ascii="楷体_GB2312" w:eastAsia="楷体_GB2312" w:cs="宋体"/>
          <w:color w:val="000000"/>
          <w:kern w:val="0"/>
          <w:sz w:val="18"/>
          <w:szCs w:val="18"/>
        </w:rPr>
      </w:pPr>
      <w:r>
        <w:rPr>
          <w:rFonts w:hint="eastAsia" w:ascii="楷体_GB2312" w:eastAsia="楷体_GB2312" w:cs="宋体"/>
          <w:color w:val="000000"/>
          <w:kern w:val="0"/>
          <w:sz w:val="18"/>
          <w:szCs w:val="18"/>
        </w:rPr>
        <w:t>Ⅰ</w:t>
      </w:r>
      <w:r>
        <w:rPr>
          <w:rFonts w:ascii="楷体_GB2312" w:eastAsia="楷体_GB2312" w:cs="宋体"/>
          <w:color w:val="000000"/>
          <w:kern w:val="0"/>
          <w:sz w:val="18"/>
          <w:szCs w:val="18"/>
        </w:rPr>
        <w:t>级：心脏病病人日常活动量不受限制，一般活动不引起乏力、呼吸困难等心衰症状。</w:t>
      </w:r>
    </w:p>
    <w:p w14:paraId="2BCC7F91">
      <w:pPr>
        <w:pStyle w:val="36"/>
        <w:snapToGrid w:val="0"/>
        <w:spacing w:line="220" w:lineRule="atLeast"/>
        <w:rPr>
          <w:rFonts w:ascii="楷体_GB2312" w:eastAsia="楷体_GB2312"/>
          <w:sz w:val="18"/>
          <w:szCs w:val="18"/>
        </w:rPr>
      </w:pPr>
      <w:r>
        <w:rPr>
          <w:rFonts w:hint="eastAsia" w:ascii="楷体_GB2312" w:eastAsia="楷体_GB2312"/>
          <w:sz w:val="18"/>
          <w:szCs w:val="18"/>
        </w:rPr>
        <w:t>Ⅱ</w:t>
      </w:r>
      <w:r>
        <w:rPr>
          <w:rFonts w:ascii="楷体_GB2312" w:eastAsia="楷体_GB2312"/>
          <w:sz w:val="18"/>
          <w:szCs w:val="18"/>
        </w:rPr>
        <w:t>级：心脏病病人体力活动轻度受限制，休息时无自觉症状，一般活动下可出现心衰症状。</w:t>
      </w:r>
    </w:p>
    <w:p w14:paraId="0B161BB4">
      <w:pPr>
        <w:pStyle w:val="36"/>
        <w:snapToGrid w:val="0"/>
        <w:spacing w:line="220" w:lineRule="atLeast"/>
        <w:rPr>
          <w:rFonts w:ascii="楷体_GB2312" w:eastAsia="楷体_GB2312"/>
          <w:sz w:val="18"/>
          <w:szCs w:val="18"/>
        </w:rPr>
      </w:pPr>
      <w:r>
        <w:rPr>
          <w:rFonts w:hint="eastAsia" w:ascii="楷体_GB2312" w:eastAsia="楷体_GB2312"/>
          <w:sz w:val="18"/>
          <w:szCs w:val="18"/>
        </w:rPr>
        <w:t>Ⅲ</w:t>
      </w:r>
      <w:r>
        <w:rPr>
          <w:rFonts w:ascii="楷体_GB2312" w:eastAsia="楷体_GB2312"/>
          <w:sz w:val="18"/>
          <w:szCs w:val="18"/>
        </w:rPr>
        <w:t>级：心脏病病人体力活动明显受限，低于平时一般活动即引起心衰症状。</w:t>
      </w:r>
    </w:p>
    <w:p w14:paraId="7FEED9CC">
      <w:pPr>
        <w:pStyle w:val="10"/>
        <w:spacing w:after="0" w:line="220" w:lineRule="atLeast"/>
        <w:rPr>
          <w:rFonts w:ascii="楷体_GB2312" w:hAnsi="Calibri" w:eastAsia="楷体_GB2312" w:cs="宋体"/>
          <w:color w:val="000000"/>
          <w:lang w:val="en-US" w:eastAsia="zh-CN"/>
        </w:rPr>
      </w:pPr>
      <w:r>
        <w:rPr>
          <w:rFonts w:hint="eastAsia" w:ascii="楷体_GB2312" w:hAnsi="Calibri" w:eastAsia="楷体_GB2312" w:cs="宋体"/>
          <w:color w:val="000000"/>
          <w:lang w:val="en-US" w:eastAsia="zh-CN"/>
        </w:rPr>
        <w:t>Ⅳ</w:t>
      </w:r>
      <w:r>
        <w:rPr>
          <w:rFonts w:ascii="楷体_GB2312" w:hAnsi="Calibri" w:eastAsia="楷体_GB2312" w:cs="宋体"/>
          <w:color w:val="000000"/>
          <w:lang w:val="en-US" w:eastAsia="zh-CN"/>
        </w:rPr>
        <w:t>级：心脏病病人不能从事任何体力活动，休息状态下也存在心衰症状，活动后加重。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4DFEC"/>
    <w:multiLevelType w:val="singleLevel"/>
    <w:tmpl w:val="8894DFEC"/>
    <w:lvl w:ilvl="0" w:tentative="0">
      <w:start w:val="1"/>
      <w:numFmt w:val="decimal"/>
      <w:lvlText w:val="(%1)"/>
      <w:lvlJc w:val="left"/>
      <w:pPr>
        <w:ind w:left="425" w:hanging="425"/>
      </w:pPr>
      <w:rPr>
        <w:rFonts w:hint="default"/>
      </w:rPr>
    </w:lvl>
  </w:abstractNum>
  <w:abstractNum w:abstractNumId="1">
    <w:nsid w:val="8F67703D"/>
    <w:multiLevelType w:val="singleLevel"/>
    <w:tmpl w:val="8F67703D"/>
    <w:lvl w:ilvl="0" w:tentative="0">
      <w:start w:val="1"/>
      <w:numFmt w:val="decimal"/>
      <w:lvlText w:val="%1."/>
      <w:lvlJc w:val="left"/>
      <w:pPr>
        <w:ind w:left="425" w:hanging="425"/>
      </w:pPr>
      <w:rPr>
        <w:rFonts w:hint="default"/>
      </w:rPr>
    </w:lvl>
  </w:abstractNum>
  <w:abstractNum w:abstractNumId="2">
    <w:nsid w:val="96D6A093"/>
    <w:multiLevelType w:val="singleLevel"/>
    <w:tmpl w:val="96D6A093"/>
    <w:lvl w:ilvl="0" w:tentative="0">
      <w:start w:val="1"/>
      <w:numFmt w:val="decimal"/>
      <w:lvlText w:val="%1."/>
      <w:lvlJc w:val="left"/>
      <w:pPr>
        <w:ind w:left="425" w:hanging="425"/>
      </w:pPr>
      <w:rPr>
        <w:rFonts w:hint="default"/>
      </w:rPr>
    </w:lvl>
  </w:abstractNum>
  <w:abstractNum w:abstractNumId="3">
    <w:nsid w:val="B0C90BCB"/>
    <w:multiLevelType w:val="singleLevel"/>
    <w:tmpl w:val="B0C90BCB"/>
    <w:lvl w:ilvl="0" w:tentative="0">
      <w:start w:val="1"/>
      <w:numFmt w:val="decimal"/>
      <w:lvlText w:val="(%1)"/>
      <w:lvlJc w:val="left"/>
      <w:pPr>
        <w:ind w:left="425" w:hanging="425"/>
      </w:pPr>
      <w:rPr>
        <w:rFonts w:hint="default" w:ascii="宋体" w:hAnsi="宋体" w:eastAsia="宋体" w:cs="宋体"/>
      </w:rPr>
    </w:lvl>
  </w:abstractNum>
  <w:abstractNum w:abstractNumId="4">
    <w:nsid w:val="B865FA42"/>
    <w:multiLevelType w:val="singleLevel"/>
    <w:tmpl w:val="B865FA42"/>
    <w:lvl w:ilvl="0" w:tentative="0">
      <w:start w:val="1"/>
      <w:numFmt w:val="decimal"/>
      <w:lvlText w:val="(%1)"/>
      <w:lvlJc w:val="left"/>
      <w:pPr>
        <w:ind w:left="425" w:hanging="425"/>
      </w:pPr>
      <w:rPr>
        <w:rFonts w:hint="default" w:ascii="宋体" w:hAnsi="宋体" w:eastAsia="宋体" w:cs="宋体"/>
      </w:rPr>
    </w:lvl>
  </w:abstractNum>
  <w:abstractNum w:abstractNumId="5">
    <w:nsid w:val="C3EC7FD5"/>
    <w:multiLevelType w:val="singleLevel"/>
    <w:tmpl w:val="C3EC7FD5"/>
    <w:lvl w:ilvl="0" w:tentative="0">
      <w:start w:val="1"/>
      <w:numFmt w:val="bullet"/>
      <w:lvlText w:val=""/>
      <w:lvlJc w:val="left"/>
      <w:pPr>
        <w:ind w:left="420" w:hanging="420"/>
      </w:pPr>
      <w:rPr>
        <w:rFonts w:hint="default" w:ascii="Wingdings" w:hAnsi="Wingdings"/>
        <w:sz w:val="8"/>
        <w:szCs w:val="8"/>
      </w:rPr>
    </w:lvl>
  </w:abstractNum>
  <w:abstractNum w:abstractNumId="6">
    <w:nsid w:val="D1E5FF3C"/>
    <w:multiLevelType w:val="singleLevel"/>
    <w:tmpl w:val="D1E5FF3C"/>
    <w:lvl w:ilvl="0" w:tentative="0">
      <w:start w:val="1"/>
      <w:numFmt w:val="decimal"/>
      <w:lvlText w:val="(%1)"/>
      <w:lvlJc w:val="left"/>
      <w:pPr>
        <w:ind w:left="425" w:hanging="425"/>
      </w:pPr>
      <w:rPr>
        <w:rFonts w:hint="default"/>
        <w:b w:val="0"/>
        <w:bCs w:val="0"/>
      </w:rPr>
    </w:lvl>
  </w:abstractNum>
  <w:abstractNum w:abstractNumId="7">
    <w:nsid w:val="DEAD7595"/>
    <w:multiLevelType w:val="singleLevel"/>
    <w:tmpl w:val="DEAD7595"/>
    <w:lvl w:ilvl="0" w:tentative="0">
      <w:start w:val="1"/>
      <w:numFmt w:val="decimal"/>
      <w:lvlText w:val="(%1)"/>
      <w:lvlJc w:val="left"/>
      <w:pPr>
        <w:ind w:left="425" w:hanging="425"/>
      </w:pPr>
      <w:rPr>
        <w:rFonts w:hint="default"/>
      </w:rPr>
    </w:lvl>
  </w:abstractNum>
  <w:abstractNum w:abstractNumId="8">
    <w:nsid w:val="E940E7CF"/>
    <w:multiLevelType w:val="singleLevel"/>
    <w:tmpl w:val="E940E7CF"/>
    <w:lvl w:ilvl="0" w:tentative="0">
      <w:start w:val="1"/>
      <w:numFmt w:val="decimal"/>
      <w:lvlText w:val="%1."/>
      <w:lvlJc w:val="left"/>
      <w:pPr>
        <w:ind w:left="425" w:hanging="425"/>
      </w:pPr>
      <w:rPr>
        <w:rFonts w:hint="default"/>
      </w:rPr>
    </w:lvl>
  </w:abstractNum>
  <w:abstractNum w:abstractNumId="9">
    <w:nsid w:val="17204955"/>
    <w:multiLevelType w:val="multilevel"/>
    <w:tmpl w:val="17204955"/>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FC062D"/>
    <w:multiLevelType w:val="multilevel"/>
    <w:tmpl w:val="24FC062D"/>
    <w:lvl w:ilvl="0" w:tentative="0">
      <w:start w:val="1"/>
      <w:numFmt w:val="bullet"/>
      <w:lvlText w:val=""/>
      <w:lvlJc w:val="left"/>
      <w:pPr>
        <w:tabs>
          <w:tab w:val="left" w:pos="1392"/>
        </w:tabs>
        <w:ind w:left="1392" w:hanging="420"/>
      </w:pPr>
      <w:rPr>
        <w:rFonts w:hint="default" w:ascii="Wingdings" w:hAnsi="Wingdings"/>
      </w:rPr>
    </w:lvl>
    <w:lvl w:ilvl="1" w:tentative="0">
      <w:start w:val="1"/>
      <w:numFmt w:val="bullet"/>
      <w:lvlText w:val=""/>
      <w:lvlJc w:val="left"/>
      <w:pPr>
        <w:tabs>
          <w:tab w:val="left" w:pos="1812"/>
        </w:tabs>
        <w:ind w:left="1812" w:hanging="420"/>
      </w:pPr>
      <w:rPr>
        <w:rFonts w:hint="default" w:ascii="Wingdings" w:hAnsi="Wingdings"/>
      </w:rPr>
    </w:lvl>
    <w:lvl w:ilvl="2" w:tentative="0">
      <w:start w:val="1"/>
      <w:numFmt w:val="bullet"/>
      <w:lvlText w:val=""/>
      <w:lvlJc w:val="left"/>
      <w:pPr>
        <w:tabs>
          <w:tab w:val="left" w:pos="2232"/>
        </w:tabs>
        <w:ind w:left="2232" w:hanging="420"/>
      </w:pPr>
      <w:rPr>
        <w:rFonts w:hint="default" w:ascii="Wingdings" w:hAnsi="Wingdings"/>
      </w:rPr>
    </w:lvl>
    <w:lvl w:ilvl="3" w:tentative="0">
      <w:start w:val="1"/>
      <w:numFmt w:val="bullet"/>
      <w:lvlText w:val=""/>
      <w:lvlJc w:val="left"/>
      <w:pPr>
        <w:tabs>
          <w:tab w:val="left" w:pos="2652"/>
        </w:tabs>
        <w:ind w:left="2652" w:hanging="420"/>
      </w:pPr>
      <w:rPr>
        <w:rFonts w:hint="default" w:ascii="Wingdings" w:hAnsi="Wingdings"/>
      </w:rPr>
    </w:lvl>
    <w:lvl w:ilvl="4" w:tentative="0">
      <w:start w:val="1"/>
      <w:numFmt w:val="bullet"/>
      <w:lvlText w:val=""/>
      <w:lvlJc w:val="left"/>
      <w:pPr>
        <w:tabs>
          <w:tab w:val="left" w:pos="3072"/>
        </w:tabs>
        <w:ind w:left="3072" w:hanging="420"/>
      </w:pPr>
      <w:rPr>
        <w:rFonts w:hint="default" w:ascii="Wingdings" w:hAnsi="Wingdings"/>
      </w:rPr>
    </w:lvl>
    <w:lvl w:ilvl="5" w:tentative="0">
      <w:start w:val="1"/>
      <w:numFmt w:val="bullet"/>
      <w:lvlText w:val=""/>
      <w:lvlJc w:val="left"/>
      <w:pPr>
        <w:tabs>
          <w:tab w:val="left" w:pos="3492"/>
        </w:tabs>
        <w:ind w:left="3492" w:hanging="420"/>
      </w:pPr>
      <w:rPr>
        <w:rFonts w:hint="default" w:ascii="Wingdings" w:hAnsi="Wingdings"/>
      </w:rPr>
    </w:lvl>
    <w:lvl w:ilvl="6" w:tentative="0">
      <w:start w:val="1"/>
      <w:numFmt w:val="bullet"/>
      <w:lvlText w:val=""/>
      <w:lvlJc w:val="left"/>
      <w:pPr>
        <w:tabs>
          <w:tab w:val="left" w:pos="3912"/>
        </w:tabs>
        <w:ind w:left="3912" w:hanging="420"/>
      </w:pPr>
      <w:rPr>
        <w:rFonts w:hint="default" w:ascii="Wingdings" w:hAnsi="Wingdings"/>
      </w:rPr>
    </w:lvl>
    <w:lvl w:ilvl="7" w:tentative="0">
      <w:start w:val="1"/>
      <w:numFmt w:val="bullet"/>
      <w:lvlText w:val=""/>
      <w:lvlJc w:val="left"/>
      <w:pPr>
        <w:tabs>
          <w:tab w:val="left" w:pos="4332"/>
        </w:tabs>
        <w:ind w:left="4332" w:hanging="420"/>
      </w:pPr>
      <w:rPr>
        <w:rFonts w:hint="default" w:ascii="Wingdings" w:hAnsi="Wingdings"/>
      </w:rPr>
    </w:lvl>
    <w:lvl w:ilvl="8" w:tentative="0">
      <w:start w:val="1"/>
      <w:numFmt w:val="bullet"/>
      <w:lvlText w:val=""/>
      <w:lvlJc w:val="left"/>
      <w:pPr>
        <w:tabs>
          <w:tab w:val="left" w:pos="4752"/>
        </w:tabs>
        <w:ind w:left="4752" w:hanging="420"/>
      </w:pPr>
      <w:rPr>
        <w:rFonts w:hint="default" w:ascii="Wingdings" w:hAnsi="Wingdings"/>
      </w:rPr>
    </w:lvl>
  </w:abstractNum>
  <w:abstractNum w:abstractNumId="11">
    <w:nsid w:val="27802FF4"/>
    <w:multiLevelType w:val="singleLevel"/>
    <w:tmpl w:val="27802FF4"/>
    <w:lvl w:ilvl="0" w:tentative="0">
      <w:start w:val="1"/>
      <w:numFmt w:val="decimal"/>
      <w:lvlText w:val="(%1)"/>
      <w:lvlJc w:val="left"/>
      <w:pPr>
        <w:ind w:left="425" w:hanging="425"/>
      </w:pPr>
      <w:rPr>
        <w:rFonts w:hint="default"/>
      </w:rPr>
    </w:lvl>
  </w:abstractNum>
  <w:abstractNum w:abstractNumId="12">
    <w:nsid w:val="4B3E2252"/>
    <w:multiLevelType w:val="multilevel"/>
    <w:tmpl w:val="4B3E2252"/>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48F7AD"/>
    <w:multiLevelType w:val="multilevel"/>
    <w:tmpl w:val="4B48F7AD"/>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466289"/>
    <w:multiLevelType w:val="singleLevel"/>
    <w:tmpl w:val="61466289"/>
    <w:lvl w:ilvl="0" w:tentative="0">
      <w:start w:val="1"/>
      <w:numFmt w:val="decimal"/>
      <w:lvlText w:val="(%1)"/>
      <w:lvlJc w:val="left"/>
      <w:pPr>
        <w:ind w:left="425" w:hanging="425"/>
      </w:pPr>
      <w:rPr>
        <w:rFonts w:hint="default"/>
        <w:b w:val="0"/>
        <w:bCs w:val="0"/>
      </w:rPr>
    </w:lvl>
  </w:abstractNum>
  <w:abstractNum w:abstractNumId="15">
    <w:nsid w:val="6E452B69"/>
    <w:multiLevelType w:val="multilevel"/>
    <w:tmpl w:val="6E452B6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2DAE15"/>
    <w:multiLevelType w:val="singleLevel"/>
    <w:tmpl w:val="742DAE15"/>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6"/>
  </w:num>
  <w:num w:numId="4">
    <w:abstractNumId w:val="2"/>
  </w:num>
  <w:num w:numId="5">
    <w:abstractNumId w:val="16"/>
  </w:num>
  <w:num w:numId="6">
    <w:abstractNumId w:val="11"/>
  </w:num>
  <w:num w:numId="7">
    <w:abstractNumId w:val="14"/>
  </w:num>
  <w:num w:numId="8">
    <w:abstractNumId w:val="12"/>
  </w:num>
  <w:num w:numId="9">
    <w:abstractNumId w:val="5"/>
  </w:num>
  <w:num w:numId="10">
    <w:abstractNumId w:val="13"/>
  </w:num>
  <w:num w:numId="11">
    <w:abstractNumId w:val="1"/>
  </w:num>
  <w:num w:numId="12">
    <w:abstractNumId w:val="3"/>
  </w:num>
  <w:num w:numId="13">
    <w:abstractNumId w:val="7"/>
  </w:num>
  <w:num w:numId="14">
    <w:abstractNumId w:val="8"/>
  </w:num>
  <w:num w:numId="15">
    <w:abstractNumId w:val="15"/>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0"/>
  <w:bordersDoNotSurroundFooter w:val="0"/>
  <w:documentProtection w:formatting="1"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80"/>
    <w:footnote w:id="8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56"/>
    <w:rsid w:val="00002750"/>
    <w:rsid w:val="00003047"/>
    <w:rsid w:val="00003F95"/>
    <w:rsid w:val="000045F9"/>
    <w:rsid w:val="00006F69"/>
    <w:rsid w:val="00006FEB"/>
    <w:rsid w:val="000072D1"/>
    <w:rsid w:val="00007458"/>
    <w:rsid w:val="000117FC"/>
    <w:rsid w:val="00012C9D"/>
    <w:rsid w:val="000140B1"/>
    <w:rsid w:val="00014EDB"/>
    <w:rsid w:val="00015719"/>
    <w:rsid w:val="0001607C"/>
    <w:rsid w:val="0002037A"/>
    <w:rsid w:val="00021898"/>
    <w:rsid w:val="000219BE"/>
    <w:rsid w:val="00022072"/>
    <w:rsid w:val="0002264E"/>
    <w:rsid w:val="00023DEB"/>
    <w:rsid w:val="000254EA"/>
    <w:rsid w:val="00026BFC"/>
    <w:rsid w:val="00026F7F"/>
    <w:rsid w:val="000278F1"/>
    <w:rsid w:val="000304D5"/>
    <w:rsid w:val="00031136"/>
    <w:rsid w:val="00031B6B"/>
    <w:rsid w:val="0003406B"/>
    <w:rsid w:val="00034967"/>
    <w:rsid w:val="00035E68"/>
    <w:rsid w:val="00036292"/>
    <w:rsid w:val="0003688A"/>
    <w:rsid w:val="00037225"/>
    <w:rsid w:val="00037423"/>
    <w:rsid w:val="00037443"/>
    <w:rsid w:val="000401BB"/>
    <w:rsid w:val="00042F54"/>
    <w:rsid w:val="00043595"/>
    <w:rsid w:val="00043EEE"/>
    <w:rsid w:val="0004529D"/>
    <w:rsid w:val="00045385"/>
    <w:rsid w:val="0004565F"/>
    <w:rsid w:val="00051077"/>
    <w:rsid w:val="0005201B"/>
    <w:rsid w:val="000537E4"/>
    <w:rsid w:val="000617E0"/>
    <w:rsid w:val="000618FE"/>
    <w:rsid w:val="00061DC5"/>
    <w:rsid w:val="00061F0A"/>
    <w:rsid w:val="00062690"/>
    <w:rsid w:val="00062EAA"/>
    <w:rsid w:val="00062FF1"/>
    <w:rsid w:val="00063CF6"/>
    <w:rsid w:val="00064811"/>
    <w:rsid w:val="00065574"/>
    <w:rsid w:val="0006705F"/>
    <w:rsid w:val="000704A0"/>
    <w:rsid w:val="000728E7"/>
    <w:rsid w:val="000730A5"/>
    <w:rsid w:val="000759BE"/>
    <w:rsid w:val="00076286"/>
    <w:rsid w:val="00080CF7"/>
    <w:rsid w:val="0008141D"/>
    <w:rsid w:val="00083234"/>
    <w:rsid w:val="00083335"/>
    <w:rsid w:val="000842EA"/>
    <w:rsid w:val="00084EDC"/>
    <w:rsid w:val="00085C56"/>
    <w:rsid w:val="000866F4"/>
    <w:rsid w:val="000875B4"/>
    <w:rsid w:val="00090C9C"/>
    <w:rsid w:val="00092C0E"/>
    <w:rsid w:val="000936AB"/>
    <w:rsid w:val="000939C6"/>
    <w:rsid w:val="00094783"/>
    <w:rsid w:val="000947AA"/>
    <w:rsid w:val="000950E8"/>
    <w:rsid w:val="00095FDF"/>
    <w:rsid w:val="000960FB"/>
    <w:rsid w:val="000974D5"/>
    <w:rsid w:val="000975BE"/>
    <w:rsid w:val="00097AA2"/>
    <w:rsid w:val="00097C9A"/>
    <w:rsid w:val="000A00D3"/>
    <w:rsid w:val="000A2124"/>
    <w:rsid w:val="000A3D4C"/>
    <w:rsid w:val="000A50FD"/>
    <w:rsid w:val="000A6401"/>
    <w:rsid w:val="000A66A8"/>
    <w:rsid w:val="000A6CD6"/>
    <w:rsid w:val="000A7DC3"/>
    <w:rsid w:val="000B0620"/>
    <w:rsid w:val="000B0A87"/>
    <w:rsid w:val="000B11FF"/>
    <w:rsid w:val="000B2FAA"/>
    <w:rsid w:val="000B55BE"/>
    <w:rsid w:val="000B566C"/>
    <w:rsid w:val="000B58BD"/>
    <w:rsid w:val="000B5988"/>
    <w:rsid w:val="000B5CAA"/>
    <w:rsid w:val="000B626F"/>
    <w:rsid w:val="000B6F5C"/>
    <w:rsid w:val="000C01FD"/>
    <w:rsid w:val="000C1B78"/>
    <w:rsid w:val="000C28FB"/>
    <w:rsid w:val="000C4361"/>
    <w:rsid w:val="000C6A2E"/>
    <w:rsid w:val="000C6A61"/>
    <w:rsid w:val="000C7D29"/>
    <w:rsid w:val="000C7D49"/>
    <w:rsid w:val="000D0042"/>
    <w:rsid w:val="000D38F3"/>
    <w:rsid w:val="000D41F7"/>
    <w:rsid w:val="000D4567"/>
    <w:rsid w:val="000D4F17"/>
    <w:rsid w:val="000D67E0"/>
    <w:rsid w:val="000D7204"/>
    <w:rsid w:val="000D752A"/>
    <w:rsid w:val="000D7D0D"/>
    <w:rsid w:val="000E06AD"/>
    <w:rsid w:val="000E06B4"/>
    <w:rsid w:val="000E0A69"/>
    <w:rsid w:val="000E0EBA"/>
    <w:rsid w:val="000E1D77"/>
    <w:rsid w:val="000E1FB3"/>
    <w:rsid w:val="000E543C"/>
    <w:rsid w:val="000E5CC7"/>
    <w:rsid w:val="000E72E2"/>
    <w:rsid w:val="000F1619"/>
    <w:rsid w:val="000F252F"/>
    <w:rsid w:val="000F3805"/>
    <w:rsid w:val="000F3F07"/>
    <w:rsid w:val="000F45CE"/>
    <w:rsid w:val="000F56C1"/>
    <w:rsid w:val="001001A7"/>
    <w:rsid w:val="0010035D"/>
    <w:rsid w:val="001007AB"/>
    <w:rsid w:val="00100A5C"/>
    <w:rsid w:val="001017F8"/>
    <w:rsid w:val="00101B5F"/>
    <w:rsid w:val="00101DFB"/>
    <w:rsid w:val="00102B1A"/>
    <w:rsid w:val="00102CE2"/>
    <w:rsid w:val="0010442D"/>
    <w:rsid w:val="00105E3F"/>
    <w:rsid w:val="0011070A"/>
    <w:rsid w:val="00111AFA"/>
    <w:rsid w:val="00113DE7"/>
    <w:rsid w:val="0011490D"/>
    <w:rsid w:val="001164DF"/>
    <w:rsid w:val="001168F4"/>
    <w:rsid w:val="001169DF"/>
    <w:rsid w:val="00116B5E"/>
    <w:rsid w:val="0011757D"/>
    <w:rsid w:val="001204C9"/>
    <w:rsid w:val="00121D08"/>
    <w:rsid w:val="00124594"/>
    <w:rsid w:val="001264F1"/>
    <w:rsid w:val="00126A2A"/>
    <w:rsid w:val="00126AA3"/>
    <w:rsid w:val="00130005"/>
    <w:rsid w:val="00133568"/>
    <w:rsid w:val="00133FC7"/>
    <w:rsid w:val="001343D6"/>
    <w:rsid w:val="00134733"/>
    <w:rsid w:val="00135DF8"/>
    <w:rsid w:val="00136270"/>
    <w:rsid w:val="00136708"/>
    <w:rsid w:val="00136C35"/>
    <w:rsid w:val="00136FF5"/>
    <w:rsid w:val="00137153"/>
    <w:rsid w:val="00137FC6"/>
    <w:rsid w:val="00140F0A"/>
    <w:rsid w:val="001422A9"/>
    <w:rsid w:val="001425AC"/>
    <w:rsid w:val="001438AD"/>
    <w:rsid w:val="0014554C"/>
    <w:rsid w:val="00146539"/>
    <w:rsid w:val="001471CD"/>
    <w:rsid w:val="001479AB"/>
    <w:rsid w:val="001522B3"/>
    <w:rsid w:val="001544C5"/>
    <w:rsid w:val="00154E82"/>
    <w:rsid w:val="00156E67"/>
    <w:rsid w:val="001606BE"/>
    <w:rsid w:val="001609B9"/>
    <w:rsid w:val="00160F81"/>
    <w:rsid w:val="00161A21"/>
    <w:rsid w:val="0016230E"/>
    <w:rsid w:val="0016401A"/>
    <w:rsid w:val="00164848"/>
    <w:rsid w:val="00166718"/>
    <w:rsid w:val="00167602"/>
    <w:rsid w:val="00170592"/>
    <w:rsid w:val="0017077C"/>
    <w:rsid w:val="001707BA"/>
    <w:rsid w:val="00172227"/>
    <w:rsid w:val="00172625"/>
    <w:rsid w:val="0017263B"/>
    <w:rsid w:val="0017273D"/>
    <w:rsid w:val="00172A27"/>
    <w:rsid w:val="00173156"/>
    <w:rsid w:val="0017329B"/>
    <w:rsid w:val="00174A2C"/>
    <w:rsid w:val="00174B46"/>
    <w:rsid w:val="00176ED8"/>
    <w:rsid w:val="001805FC"/>
    <w:rsid w:val="00180C9A"/>
    <w:rsid w:val="00180FFE"/>
    <w:rsid w:val="00181745"/>
    <w:rsid w:val="001847F3"/>
    <w:rsid w:val="00184DFC"/>
    <w:rsid w:val="00185273"/>
    <w:rsid w:val="001852EE"/>
    <w:rsid w:val="00185817"/>
    <w:rsid w:val="00185F09"/>
    <w:rsid w:val="00186649"/>
    <w:rsid w:val="0018698D"/>
    <w:rsid w:val="00186EF1"/>
    <w:rsid w:val="00187635"/>
    <w:rsid w:val="001878B7"/>
    <w:rsid w:val="00187CCE"/>
    <w:rsid w:val="00193882"/>
    <w:rsid w:val="001941F8"/>
    <w:rsid w:val="001974E6"/>
    <w:rsid w:val="001A1323"/>
    <w:rsid w:val="001A2F3D"/>
    <w:rsid w:val="001A38C9"/>
    <w:rsid w:val="001A3BD8"/>
    <w:rsid w:val="001A3EE3"/>
    <w:rsid w:val="001A573B"/>
    <w:rsid w:val="001A7265"/>
    <w:rsid w:val="001A746B"/>
    <w:rsid w:val="001B05D1"/>
    <w:rsid w:val="001B0DEB"/>
    <w:rsid w:val="001B1A11"/>
    <w:rsid w:val="001B23A8"/>
    <w:rsid w:val="001B2EA4"/>
    <w:rsid w:val="001B3148"/>
    <w:rsid w:val="001B3356"/>
    <w:rsid w:val="001B359B"/>
    <w:rsid w:val="001B44A7"/>
    <w:rsid w:val="001B6EF3"/>
    <w:rsid w:val="001C04B4"/>
    <w:rsid w:val="001C2578"/>
    <w:rsid w:val="001C3E7E"/>
    <w:rsid w:val="001C5A47"/>
    <w:rsid w:val="001C7B12"/>
    <w:rsid w:val="001D0897"/>
    <w:rsid w:val="001D1859"/>
    <w:rsid w:val="001D1C65"/>
    <w:rsid w:val="001D1CA8"/>
    <w:rsid w:val="001D225B"/>
    <w:rsid w:val="001D2780"/>
    <w:rsid w:val="001D2FEF"/>
    <w:rsid w:val="001D5026"/>
    <w:rsid w:val="001D5E91"/>
    <w:rsid w:val="001D5EB2"/>
    <w:rsid w:val="001D6439"/>
    <w:rsid w:val="001D69D9"/>
    <w:rsid w:val="001D7E5F"/>
    <w:rsid w:val="001E1678"/>
    <w:rsid w:val="001E2847"/>
    <w:rsid w:val="001E3B3F"/>
    <w:rsid w:val="001E3D87"/>
    <w:rsid w:val="001E4134"/>
    <w:rsid w:val="001E424F"/>
    <w:rsid w:val="001E4B44"/>
    <w:rsid w:val="001E5503"/>
    <w:rsid w:val="001E7921"/>
    <w:rsid w:val="001F3D23"/>
    <w:rsid w:val="001F5075"/>
    <w:rsid w:val="001F5407"/>
    <w:rsid w:val="001F6309"/>
    <w:rsid w:val="002018A5"/>
    <w:rsid w:val="002025C7"/>
    <w:rsid w:val="002029A2"/>
    <w:rsid w:val="00204C8E"/>
    <w:rsid w:val="002064D2"/>
    <w:rsid w:val="00210AB0"/>
    <w:rsid w:val="00212039"/>
    <w:rsid w:val="00213900"/>
    <w:rsid w:val="00215DC7"/>
    <w:rsid w:val="002163E6"/>
    <w:rsid w:val="002164B5"/>
    <w:rsid w:val="00216DF9"/>
    <w:rsid w:val="002170B0"/>
    <w:rsid w:val="002206A7"/>
    <w:rsid w:val="00220EF9"/>
    <w:rsid w:val="00221766"/>
    <w:rsid w:val="00222363"/>
    <w:rsid w:val="00223F17"/>
    <w:rsid w:val="00224356"/>
    <w:rsid w:val="0022471E"/>
    <w:rsid w:val="002247A8"/>
    <w:rsid w:val="00224C14"/>
    <w:rsid w:val="00224E25"/>
    <w:rsid w:val="002257B1"/>
    <w:rsid w:val="00225A03"/>
    <w:rsid w:val="00225A52"/>
    <w:rsid w:val="002300B4"/>
    <w:rsid w:val="00231B52"/>
    <w:rsid w:val="00231D36"/>
    <w:rsid w:val="00232B97"/>
    <w:rsid w:val="00233CDF"/>
    <w:rsid w:val="0023429F"/>
    <w:rsid w:val="002344A9"/>
    <w:rsid w:val="0023467E"/>
    <w:rsid w:val="00235A60"/>
    <w:rsid w:val="00236401"/>
    <w:rsid w:val="00240634"/>
    <w:rsid w:val="00240DAF"/>
    <w:rsid w:val="00240F83"/>
    <w:rsid w:val="002415B4"/>
    <w:rsid w:val="0024181F"/>
    <w:rsid w:val="00242D56"/>
    <w:rsid w:val="00242DCF"/>
    <w:rsid w:val="002432BD"/>
    <w:rsid w:val="00244BD8"/>
    <w:rsid w:val="00245C2A"/>
    <w:rsid w:val="0024686A"/>
    <w:rsid w:val="002471F3"/>
    <w:rsid w:val="00250FAD"/>
    <w:rsid w:val="002513F6"/>
    <w:rsid w:val="00251502"/>
    <w:rsid w:val="002517A1"/>
    <w:rsid w:val="00252FF1"/>
    <w:rsid w:val="0025430E"/>
    <w:rsid w:val="002552BA"/>
    <w:rsid w:val="002553A8"/>
    <w:rsid w:val="0025617D"/>
    <w:rsid w:val="00256499"/>
    <w:rsid w:val="002607EB"/>
    <w:rsid w:val="002611B4"/>
    <w:rsid w:val="002619CC"/>
    <w:rsid w:val="00261CFE"/>
    <w:rsid w:val="00261D3B"/>
    <w:rsid w:val="002623C5"/>
    <w:rsid w:val="00262492"/>
    <w:rsid w:val="00262BAB"/>
    <w:rsid w:val="00263F7D"/>
    <w:rsid w:val="00264BAF"/>
    <w:rsid w:val="00264E9A"/>
    <w:rsid w:val="002659F8"/>
    <w:rsid w:val="002665DD"/>
    <w:rsid w:val="00273603"/>
    <w:rsid w:val="00274631"/>
    <w:rsid w:val="002752D8"/>
    <w:rsid w:val="002762AD"/>
    <w:rsid w:val="00277A49"/>
    <w:rsid w:val="00277A96"/>
    <w:rsid w:val="002802D2"/>
    <w:rsid w:val="002806E8"/>
    <w:rsid w:val="00280E7A"/>
    <w:rsid w:val="00281D48"/>
    <w:rsid w:val="002843E2"/>
    <w:rsid w:val="0028486E"/>
    <w:rsid w:val="00284927"/>
    <w:rsid w:val="0028494A"/>
    <w:rsid w:val="00284AA4"/>
    <w:rsid w:val="002859CE"/>
    <w:rsid w:val="00285AF2"/>
    <w:rsid w:val="002873D9"/>
    <w:rsid w:val="00290093"/>
    <w:rsid w:val="0029087D"/>
    <w:rsid w:val="00291869"/>
    <w:rsid w:val="00292D8B"/>
    <w:rsid w:val="00293212"/>
    <w:rsid w:val="002933F8"/>
    <w:rsid w:val="002937AC"/>
    <w:rsid w:val="00293AE4"/>
    <w:rsid w:val="00293F06"/>
    <w:rsid w:val="0029445C"/>
    <w:rsid w:val="00294CBC"/>
    <w:rsid w:val="00295450"/>
    <w:rsid w:val="00295632"/>
    <w:rsid w:val="002A0204"/>
    <w:rsid w:val="002A086E"/>
    <w:rsid w:val="002A122A"/>
    <w:rsid w:val="002A1271"/>
    <w:rsid w:val="002A2328"/>
    <w:rsid w:val="002A2890"/>
    <w:rsid w:val="002A2A01"/>
    <w:rsid w:val="002A3563"/>
    <w:rsid w:val="002A3DD6"/>
    <w:rsid w:val="002A4F66"/>
    <w:rsid w:val="002A5EE4"/>
    <w:rsid w:val="002A5FB1"/>
    <w:rsid w:val="002A7095"/>
    <w:rsid w:val="002A747D"/>
    <w:rsid w:val="002B06FB"/>
    <w:rsid w:val="002B1DF6"/>
    <w:rsid w:val="002B25B4"/>
    <w:rsid w:val="002B2625"/>
    <w:rsid w:val="002B34FF"/>
    <w:rsid w:val="002B385F"/>
    <w:rsid w:val="002B3FD6"/>
    <w:rsid w:val="002B5A0B"/>
    <w:rsid w:val="002C06D8"/>
    <w:rsid w:val="002C08B5"/>
    <w:rsid w:val="002C0A2D"/>
    <w:rsid w:val="002C14B9"/>
    <w:rsid w:val="002C157D"/>
    <w:rsid w:val="002C1CF3"/>
    <w:rsid w:val="002C3883"/>
    <w:rsid w:val="002C3EBA"/>
    <w:rsid w:val="002C5440"/>
    <w:rsid w:val="002C6162"/>
    <w:rsid w:val="002C70B3"/>
    <w:rsid w:val="002C7BFD"/>
    <w:rsid w:val="002D02D7"/>
    <w:rsid w:val="002D0E86"/>
    <w:rsid w:val="002D2555"/>
    <w:rsid w:val="002D2A5F"/>
    <w:rsid w:val="002D3311"/>
    <w:rsid w:val="002D4A6C"/>
    <w:rsid w:val="002D4B10"/>
    <w:rsid w:val="002D586C"/>
    <w:rsid w:val="002D643E"/>
    <w:rsid w:val="002D70C5"/>
    <w:rsid w:val="002D74F2"/>
    <w:rsid w:val="002D77FB"/>
    <w:rsid w:val="002E03B8"/>
    <w:rsid w:val="002E1446"/>
    <w:rsid w:val="002E19B5"/>
    <w:rsid w:val="002E3010"/>
    <w:rsid w:val="002E6605"/>
    <w:rsid w:val="002F012C"/>
    <w:rsid w:val="002F0EB6"/>
    <w:rsid w:val="002F1556"/>
    <w:rsid w:val="002F1977"/>
    <w:rsid w:val="002F24B4"/>
    <w:rsid w:val="002F269E"/>
    <w:rsid w:val="002F3764"/>
    <w:rsid w:val="002F3AD4"/>
    <w:rsid w:val="002F3DF1"/>
    <w:rsid w:val="002F427C"/>
    <w:rsid w:val="002F7375"/>
    <w:rsid w:val="00300272"/>
    <w:rsid w:val="0030089A"/>
    <w:rsid w:val="00300B92"/>
    <w:rsid w:val="00301BC3"/>
    <w:rsid w:val="00302370"/>
    <w:rsid w:val="003044E2"/>
    <w:rsid w:val="003060E1"/>
    <w:rsid w:val="003069F9"/>
    <w:rsid w:val="00310104"/>
    <w:rsid w:val="00311A6E"/>
    <w:rsid w:val="00313160"/>
    <w:rsid w:val="00313AE6"/>
    <w:rsid w:val="00314834"/>
    <w:rsid w:val="00314987"/>
    <w:rsid w:val="00317BB7"/>
    <w:rsid w:val="00317CA0"/>
    <w:rsid w:val="00321046"/>
    <w:rsid w:val="00321E5F"/>
    <w:rsid w:val="00326618"/>
    <w:rsid w:val="00326EE0"/>
    <w:rsid w:val="0033012A"/>
    <w:rsid w:val="00330876"/>
    <w:rsid w:val="0033120B"/>
    <w:rsid w:val="00331269"/>
    <w:rsid w:val="00331C48"/>
    <w:rsid w:val="00331CDB"/>
    <w:rsid w:val="0033276D"/>
    <w:rsid w:val="00332C05"/>
    <w:rsid w:val="00333277"/>
    <w:rsid w:val="0033503E"/>
    <w:rsid w:val="00336663"/>
    <w:rsid w:val="003375DA"/>
    <w:rsid w:val="003376B8"/>
    <w:rsid w:val="00337A9B"/>
    <w:rsid w:val="00337ABC"/>
    <w:rsid w:val="003404A7"/>
    <w:rsid w:val="00340A8B"/>
    <w:rsid w:val="00341AE9"/>
    <w:rsid w:val="00341E8B"/>
    <w:rsid w:val="003426B4"/>
    <w:rsid w:val="00342FD6"/>
    <w:rsid w:val="003432C7"/>
    <w:rsid w:val="003475B9"/>
    <w:rsid w:val="00347A67"/>
    <w:rsid w:val="00350899"/>
    <w:rsid w:val="00350938"/>
    <w:rsid w:val="00351B66"/>
    <w:rsid w:val="00351D82"/>
    <w:rsid w:val="003523DB"/>
    <w:rsid w:val="0035258A"/>
    <w:rsid w:val="00353D7C"/>
    <w:rsid w:val="003549E4"/>
    <w:rsid w:val="00355014"/>
    <w:rsid w:val="00356A38"/>
    <w:rsid w:val="00356B71"/>
    <w:rsid w:val="00357782"/>
    <w:rsid w:val="0036006A"/>
    <w:rsid w:val="003614B2"/>
    <w:rsid w:val="00362DCC"/>
    <w:rsid w:val="003648F3"/>
    <w:rsid w:val="00364F04"/>
    <w:rsid w:val="00365A5C"/>
    <w:rsid w:val="00365BA4"/>
    <w:rsid w:val="00365BDF"/>
    <w:rsid w:val="00371108"/>
    <w:rsid w:val="00371937"/>
    <w:rsid w:val="00371D0D"/>
    <w:rsid w:val="00373FCF"/>
    <w:rsid w:val="00374EB3"/>
    <w:rsid w:val="003750C3"/>
    <w:rsid w:val="003758EF"/>
    <w:rsid w:val="00375B1C"/>
    <w:rsid w:val="00375C76"/>
    <w:rsid w:val="00375CF3"/>
    <w:rsid w:val="003767F0"/>
    <w:rsid w:val="00380473"/>
    <w:rsid w:val="00384AA3"/>
    <w:rsid w:val="00384B27"/>
    <w:rsid w:val="00384BCA"/>
    <w:rsid w:val="00385E51"/>
    <w:rsid w:val="00385EF3"/>
    <w:rsid w:val="00386ED0"/>
    <w:rsid w:val="00387820"/>
    <w:rsid w:val="00391CE9"/>
    <w:rsid w:val="00393961"/>
    <w:rsid w:val="00393DC3"/>
    <w:rsid w:val="00394DB2"/>
    <w:rsid w:val="0039531D"/>
    <w:rsid w:val="00395C5B"/>
    <w:rsid w:val="003A0B09"/>
    <w:rsid w:val="003A0DA2"/>
    <w:rsid w:val="003A14A3"/>
    <w:rsid w:val="003A14B4"/>
    <w:rsid w:val="003A27F4"/>
    <w:rsid w:val="003A34C5"/>
    <w:rsid w:val="003A4239"/>
    <w:rsid w:val="003A5D53"/>
    <w:rsid w:val="003A622C"/>
    <w:rsid w:val="003A6EA0"/>
    <w:rsid w:val="003A728B"/>
    <w:rsid w:val="003A7F10"/>
    <w:rsid w:val="003B0225"/>
    <w:rsid w:val="003B1889"/>
    <w:rsid w:val="003B3412"/>
    <w:rsid w:val="003B3D10"/>
    <w:rsid w:val="003B3E4E"/>
    <w:rsid w:val="003B4A36"/>
    <w:rsid w:val="003B771F"/>
    <w:rsid w:val="003B7A6B"/>
    <w:rsid w:val="003B7F5D"/>
    <w:rsid w:val="003C0548"/>
    <w:rsid w:val="003C3700"/>
    <w:rsid w:val="003C3BF1"/>
    <w:rsid w:val="003C3DE4"/>
    <w:rsid w:val="003C41DA"/>
    <w:rsid w:val="003C50C6"/>
    <w:rsid w:val="003C5324"/>
    <w:rsid w:val="003C5EFB"/>
    <w:rsid w:val="003D0AE2"/>
    <w:rsid w:val="003D2D52"/>
    <w:rsid w:val="003D48F4"/>
    <w:rsid w:val="003D4EBE"/>
    <w:rsid w:val="003D7E39"/>
    <w:rsid w:val="003D7EA0"/>
    <w:rsid w:val="003E1831"/>
    <w:rsid w:val="003E1FFB"/>
    <w:rsid w:val="003E2E74"/>
    <w:rsid w:val="003E35B2"/>
    <w:rsid w:val="003E360A"/>
    <w:rsid w:val="003E5040"/>
    <w:rsid w:val="003E5934"/>
    <w:rsid w:val="003E5B45"/>
    <w:rsid w:val="003F06EB"/>
    <w:rsid w:val="003F0F63"/>
    <w:rsid w:val="003F1396"/>
    <w:rsid w:val="003F39C9"/>
    <w:rsid w:val="003F3CFF"/>
    <w:rsid w:val="003F4695"/>
    <w:rsid w:val="003F50DC"/>
    <w:rsid w:val="003F555A"/>
    <w:rsid w:val="003F6316"/>
    <w:rsid w:val="003F6AC7"/>
    <w:rsid w:val="00400543"/>
    <w:rsid w:val="00400EFC"/>
    <w:rsid w:val="004026D9"/>
    <w:rsid w:val="004031D1"/>
    <w:rsid w:val="00404421"/>
    <w:rsid w:val="00404684"/>
    <w:rsid w:val="00405286"/>
    <w:rsid w:val="0040534F"/>
    <w:rsid w:val="00405665"/>
    <w:rsid w:val="00406410"/>
    <w:rsid w:val="0040671C"/>
    <w:rsid w:val="00406FD8"/>
    <w:rsid w:val="004100C9"/>
    <w:rsid w:val="00410599"/>
    <w:rsid w:val="004107A8"/>
    <w:rsid w:val="004118E2"/>
    <w:rsid w:val="004127AE"/>
    <w:rsid w:val="004128C2"/>
    <w:rsid w:val="0041334A"/>
    <w:rsid w:val="004150F5"/>
    <w:rsid w:val="00415C05"/>
    <w:rsid w:val="004167E2"/>
    <w:rsid w:val="004178F0"/>
    <w:rsid w:val="004207E7"/>
    <w:rsid w:val="00420ECC"/>
    <w:rsid w:val="0042136A"/>
    <w:rsid w:val="00421FE6"/>
    <w:rsid w:val="00422AE2"/>
    <w:rsid w:val="0042708C"/>
    <w:rsid w:val="00427163"/>
    <w:rsid w:val="004309A9"/>
    <w:rsid w:val="00430EA1"/>
    <w:rsid w:val="00431D84"/>
    <w:rsid w:val="00432B9E"/>
    <w:rsid w:val="0043381D"/>
    <w:rsid w:val="00434CC8"/>
    <w:rsid w:val="00434F6B"/>
    <w:rsid w:val="00435594"/>
    <w:rsid w:val="00435D94"/>
    <w:rsid w:val="00436BC1"/>
    <w:rsid w:val="00437942"/>
    <w:rsid w:val="00437BD0"/>
    <w:rsid w:val="004405D6"/>
    <w:rsid w:val="00440691"/>
    <w:rsid w:val="00440FB8"/>
    <w:rsid w:val="0044333D"/>
    <w:rsid w:val="004440F6"/>
    <w:rsid w:val="004444AB"/>
    <w:rsid w:val="0044513A"/>
    <w:rsid w:val="00445321"/>
    <w:rsid w:val="0044596A"/>
    <w:rsid w:val="004461F0"/>
    <w:rsid w:val="00446723"/>
    <w:rsid w:val="00447573"/>
    <w:rsid w:val="00452906"/>
    <w:rsid w:val="00453585"/>
    <w:rsid w:val="00453FC2"/>
    <w:rsid w:val="0045415B"/>
    <w:rsid w:val="0045502A"/>
    <w:rsid w:val="00455D5A"/>
    <w:rsid w:val="00457502"/>
    <w:rsid w:val="00457A7D"/>
    <w:rsid w:val="00461558"/>
    <w:rsid w:val="00462A50"/>
    <w:rsid w:val="0046365F"/>
    <w:rsid w:val="00463A52"/>
    <w:rsid w:val="00463B65"/>
    <w:rsid w:val="00464AF0"/>
    <w:rsid w:val="00464DA3"/>
    <w:rsid w:val="004653C0"/>
    <w:rsid w:val="00466A03"/>
    <w:rsid w:val="00466EE9"/>
    <w:rsid w:val="004674FC"/>
    <w:rsid w:val="004711D2"/>
    <w:rsid w:val="00471295"/>
    <w:rsid w:val="00471A85"/>
    <w:rsid w:val="004722D2"/>
    <w:rsid w:val="0047318A"/>
    <w:rsid w:val="004735FA"/>
    <w:rsid w:val="00474A84"/>
    <w:rsid w:val="00475193"/>
    <w:rsid w:val="00475C1E"/>
    <w:rsid w:val="00476AFD"/>
    <w:rsid w:val="00477450"/>
    <w:rsid w:val="00477497"/>
    <w:rsid w:val="00477807"/>
    <w:rsid w:val="00477BC2"/>
    <w:rsid w:val="00480284"/>
    <w:rsid w:val="004819A2"/>
    <w:rsid w:val="00483439"/>
    <w:rsid w:val="00483EC3"/>
    <w:rsid w:val="00484BC2"/>
    <w:rsid w:val="004863AC"/>
    <w:rsid w:val="00486579"/>
    <w:rsid w:val="004867AF"/>
    <w:rsid w:val="00490C18"/>
    <w:rsid w:val="0049364B"/>
    <w:rsid w:val="0049397F"/>
    <w:rsid w:val="00495052"/>
    <w:rsid w:val="00495070"/>
    <w:rsid w:val="004950E8"/>
    <w:rsid w:val="00495193"/>
    <w:rsid w:val="004953F7"/>
    <w:rsid w:val="004955BE"/>
    <w:rsid w:val="0049570D"/>
    <w:rsid w:val="00495792"/>
    <w:rsid w:val="00495EF9"/>
    <w:rsid w:val="004966CC"/>
    <w:rsid w:val="00497198"/>
    <w:rsid w:val="00497345"/>
    <w:rsid w:val="0049762E"/>
    <w:rsid w:val="004A0246"/>
    <w:rsid w:val="004A10A0"/>
    <w:rsid w:val="004A1BF5"/>
    <w:rsid w:val="004A27E6"/>
    <w:rsid w:val="004A32BF"/>
    <w:rsid w:val="004A37A5"/>
    <w:rsid w:val="004A629F"/>
    <w:rsid w:val="004A67C2"/>
    <w:rsid w:val="004A6FC5"/>
    <w:rsid w:val="004B0908"/>
    <w:rsid w:val="004B48FF"/>
    <w:rsid w:val="004B500C"/>
    <w:rsid w:val="004B66FE"/>
    <w:rsid w:val="004B7EBC"/>
    <w:rsid w:val="004C0D37"/>
    <w:rsid w:val="004C0E7A"/>
    <w:rsid w:val="004C19FA"/>
    <w:rsid w:val="004C1F68"/>
    <w:rsid w:val="004C2217"/>
    <w:rsid w:val="004C4403"/>
    <w:rsid w:val="004C5EA5"/>
    <w:rsid w:val="004C733B"/>
    <w:rsid w:val="004C7D5E"/>
    <w:rsid w:val="004D19CD"/>
    <w:rsid w:val="004D238F"/>
    <w:rsid w:val="004D2A66"/>
    <w:rsid w:val="004D2D9B"/>
    <w:rsid w:val="004D2F01"/>
    <w:rsid w:val="004D3B64"/>
    <w:rsid w:val="004D42A4"/>
    <w:rsid w:val="004D496B"/>
    <w:rsid w:val="004D5503"/>
    <w:rsid w:val="004D5D45"/>
    <w:rsid w:val="004E2440"/>
    <w:rsid w:val="004E3469"/>
    <w:rsid w:val="004E508F"/>
    <w:rsid w:val="004E5BFC"/>
    <w:rsid w:val="004E5C5D"/>
    <w:rsid w:val="004E6777"/>
    <w:rsid w:val="004E749C"/>
    <w:rsid w:val="004E7F48"/>
    <w:rsid w:val="004F0803"/>
    <w:rsid w:val="004F0BDC"/>
    <w:rsid w:val="004F1344"/>
    <w:rsid w:val="004F1B20"/>
    <w:rsid w:val="004F1BFC"/>
    <w:rsid w:val="004F31FD"/>
    <w:rsid w:val="004F3543"/>
    <w:rsid w:val="004F566D"/>
    <w:rsid w:val="004F72BC"/>
    <w:rsid w:val="005001A9"/>
    <w:rsid w:val="00501A42"/>
    <w:rsid w:val="00501F5F"/>
    <w:rsid w:val="005023D9"/>
    <w:rsid w:val="005046C6"/>
    <w:rsid w:val="00504A75"/>
    <w:rsid w:val="00504C3F"/>
    <w:rsid w:val="005063F6"/>
    <w:rsid w:val="0050689C"/>
    <w:rsid w:val="005068F4"/>
    <w:rsid w:val="00507063"/>
    <w:rsid w:val="0050756E"/>
    <w:rsid w:val="00511CE0"/>
    <w:rsid w:val="00511D57"/>
    <w:rsid w:val="00511E05"/>
    <w:rsid w:val="0051384F"/>
    <w:rsid w:val="00513D08"/>
    <w:rsid w:val="005147E3"/>
    <w:rsid w:val="005162D4"/>
    <w:rsid w:val="00516A10"/>
    <w:rsid w:val="00517029"/>
    <w:rsid w:val="00517074"/>
    <w:rsid w:val="00525A9F"/>
    <w:rsid w:val="005260E0"/>
    <w:rsid w:val="0052634D"/>
    <w:rsid w:val="00526E74"/>
    <w:rsid w:val="00527D63"/>
    <w:rsid w:val="00530076"/>
    <w:rsid w:val="005302FD"/>
    <w:rsid w:val="005307A2"/>
    <w:rsid w:val="005328A0"/>
    <w:rsid w:val="005330BB"/>
    <w:rsid w:val="0053316F"/>
    <w:rsid w:val="0053374D"/>
    <w:rsid w:val="00534076"/>
    <w:rsid w:val="0053446A"/>
    <w:rsid w:val="00534949"/>
    <w:rsid w:val="00535180"/>
    <w:rsid w:val="00535711"/>
    <w:rsid w:val="005359F6"/>
    <w:rsid w:val="005360C7"/>
    <w:rsid w:val="00536F9F"/>
    <w:rsid w:val="00536FA2"/>
    <w:rsid w:val="00537342"/>
    <w:rsid w:val="00541BFA"/>
    <w:rsid w:val="0054212E"/>
    <w:rsid w:val="0054245E"/>
    <w:rsid w:val="00542C29"/>
    <w:rsid w:val="00543D6D"/>
    <w:rsid w:val="005443EB"/>
    <w:rsid w:val="005453C6"/>
    <w:rsid w:val="00545E53"/>
    <w:rsid w:val="00547398"/>
    <w:rsid w:val="0054758F"/>
    <w:rsid w:val="00550F14"/>
    <w:rsid w:val="0055135C"/>
    <w:rsid w:val="00552A7C"/>
    <w:rsid w:val="00552D69"/>
    <w:rsid w:val="0055338C"/>
    <w:rsid w:val="0055384A"/>
    <w:rsid w:val="00553E42"/>
    <w:rsid w:val="005557D3"/>
    <w:rsid w:val="00556C75"/>
    <w:rsid w:val="0055765C"/>
    <w:rsid w:val="005604FD"/>
    <w:rsid w:val="00560DE4"/>
    <w:rsid w:val="00560FE3"/>
    <w:rsid w:val="00562B1E"/>
    <w:rsid w:val="00562BD7"/>
    <w:rsid w:val="00564287"/>
    <w:rsid w:val="00566FE9"/>
    <w:rsid w:val="005670A4"/>
    <w:rsid w:val="00567AE8"/>
    <w:rsid w:val="0057003E"/>
    <w:rsid w:val="00570840"/>
    <w:rsid w:val="005733E9"/>
    <w:rsid w:val="005735FC"/>
    <w:rsid w:val="005745AF"/>
    <w:rsid w:val="00577FD6"/>
    <w:rsid w:val="00582341"/>
    <w:rsid w:val="00582D46"/>
    <w:rsid w:val="00582DCD"/>
    <w:rsid w:val="00582EAE"/>
    <w:rsid w:val="0058331D"/>
    <w:rsid w:val="005852E8"/>
    <w:rsid w:val="00586AF4"/>
    <w:rsid w:val="00591190"/>
    <w:rsid w:val="005914E9"/>
    <w:rsid w:val="00591BF5"/>
    <w:rsid w:val="00592800"/>
    <w:rsid w:val="0059402D"/>
    <w:rsid w:val="005940A2"/>
    <w:rsid w:val="00595118"/>
    <w:rsid w:val="005956F5"/>
    <w:rsid w:val="00596E4F"/>
    <w:rsid w:val="00597605"/>
    <w:rsid w:val="005A0AE1"/>
    <w:rsid w:val="005A2170"/>
    <w:rsid w:val="005A3E9C"/>
    <w:rsid w:val="005A67F3"/>
    <w:rsid w:val="005A6B70"/>
    <w:rsid w:val="005A6EA2"/>
    <w:rsid w:val="005A703C"/>
    <w:rsid w:val="005A7AAA"/>
    <w:rsid w:val="005B00FE"/>
    <w:rsid w:val="005B141A"/>
    <w:rsid w:val="005B1CED"/>
    <w:rsid w:val="005B4A30"/>
    <w:rsid w:val="005B72AC"/>
    <w:rsid w:val="005B7B32"/>
    <w:rsid w:val="005C0BDA"/>
    <w:rsid w:val="005C1FB6"/>
    <w:rsid w:val="005C3332"/>
    <w:rsid w:val="005C53CE"/>
    <w:rsid w:val="005C61DC"/>
    <w:rsid w:val="005C7E7E"/>
    <w:rsid w:val="005D0699"/>
    <w:rsid w:val="005D07B0"/>
    <w:rsid w:val="005D3AE7"/>
    <w:rsid w:val="005D3C99"/>
    <w:rsid w:val="005D584C"/>
    <w:rsid w:val="005D6A85"/>
    <w:rsid w:val="005D712E"/>
    <w:rsid w:val="005D7D33"/>
    <w:rsid w:val="005E0C7C"/>
    <w:rsid w:val="005E16BD"/>
    <w:rsid w:val="005E2021"/>
    <w:rsid w:val="005E2A57"/>
    <w:rsid w:val="005E2B75"/>
    <w:rsid w:val="005E3CE2"/>
    <w:rsid w:val="005E7B58"/>
    <w:rsid w:val="005F0845"/>
    <w:rsid w:val="005F0C34"/>
    <w:rsid w:val="005F1ABD"/>
    <w:rsid w:val="005F1E72"/>
    <w:rsid w:val="005F1FD8"/>
    <w:rsid w:val="005F2421"/>
    <w:rsid w:val="005F2B37"/>
    <w:rsid w:val="005F2E1F"/>
    <w:rsid w:val="005F36CA"/>
    <w:rsid w:val="005F496D"/>
    <w:rsid w:val="005F4C96"/>
    <w:rsid w:val="005F4D70"/>
    <w:rsid w:val="005F531D"/>
    <w:rsid w:val="005F56F7"/>
    <w:rsid w:val="005F6328"/>
    <w:rsid w:val="005F6B1D"/>
    <w:rsid w:val="005F6F9C"/>
    <w:rsid w:val="005F71A6"/>
    <w:rsid w:val="006004CD"/>
    <w:rsid w:val="006014A0"/>
    <w:rsid w:val="00601A31"/>
    <w:rsid w:val="00601CF8"/>
    <w:rsid w:val="0060257D"/>
    <w:rsid w:val="00602FBA"/>
    <w:rsid w:val="00603DAD"/>
    <w:rsid w:val="00603F2E"/>
    <w:rsid w:val="006047AF"/>
    <w:rsid w:val="006048D4"/>
    <w:rsid w:val="00604CC8"/>
    <w:rsid w:val="006108C5"/>
    <w:rsid w:val="00610F90"/>
    <w:rsid w:val="006125A2"/>
    <w:rsid w:val="006128CE"/>
    <w:rsid w:val="00612E12"/>
    <w:rsid w:val="00612E4E"/>
    <w:rsid w:val="00613CC1"/>
    <w:rsid w:val="00614A09"/>
    <w:rsid w:val="00614CC8"/>
    <w:rsid w:val="00615351"/>
    <w:rsid w:val="006157ED"/>
    <w:rsid w:val="0061720A"/>
    <w:rsid w:val="006173C3"/>
    <w:rsid w:val="00617613"/>
    <w:rsid w:val="00620187"/>
    <w:rsid w:val="00620C81"/>
    <w:rsid w:val="006212D8"/>
    <w:rsid w:val="00621625"/>
    <w:rsid w:val="00621EE1"/>
    <w:rsid w:val="00622678"/>
    <w:rsid w:val="00622ABB"/>
    <w:rsid w:val="006257D0"/>
    <w:rsid w:val="006260AD"/>
    <w:rsid w:val="0062785D"/>
    <w:rsid w:val="00633E9C"/>
    <w:rsid w:val="00633F01"/>
    <w:rsid w:val="0063472B"/>
    <w:rsid w:val="00634DE8"/>
    <w:rsid w:val="0063595B"/>
    <w:rsid w:val="00636E24"/>
    <w:rsid w:val="0063709D"/>
    <w:rsid w:val="00637B0A"/>
    <w:rsid w:val="0064048B"/>
    <w:rsid w:val="0064051F"/>
    <w:rsid w:val="00640BA8"/>
    <w:rsid w:val="00640FAE"/>
    <w:rsid w:val="00641F68"/>
    <w:rsid w:val="0064233D"/>
    <w:rsid w:val="00642C7C"/>
    <w:rsid w:val="00642FFC"/>
    <w:rsid w:val="006432AB"/>
    <w:rsid w:val="006447EC"/>
    <w:rsid w:val="00645349"/>
    <w:rsid w:val="0064615D"/>
    <w:rsid w:val="0064627F"/>
    <w:rsid w:val="00647AE1"/>
    <w:rsid w:val="0065050B"/>
    <w:rsid w:val="00650730"/>
    <w:rsid w:val="00651081"/>
    <w:rsid w:val="00651547"/>
    <w:rsid w:val="00651659"/>
    <w:rsid w:val="00651725"/>
    <w:rsid w:val="00651B7E"/>
    <w:rsid w:val="0065346B"/>
    <w:rsid w:val="00657641"/>
    <w:rsid w:val="0066018C"/>
    <w:rsid w:val="00660410"/>
    <w:rsid w:val="0066050E"/>
    <w:rsid w:val="0066158A"/>
    <w:rsid w:val="00661722"/>
    <w:rsid w:val="00661E62"/>
    <w:rsid w:val="00661F33"/>
    <w:rsid w:val="0066240C"/>
    <w:rsid w:val="006628E0"/>
    <w:rsid w:val="00662D1C"/>
    <w:rsid w:val="00662D6F"/>
    <w:rsid w:val="00662EE5"/>
    <w:rsid w:val="00664139"/>
    <w:rsid w:val="00664CFF"/>
    <w:rsid w:val="006650A5"/>
    <w:rsid w:val="00665441"/>
    <w:rsid w:val="0066662A"/>
    <w:rsid w:val="00670724"/>
    <w:rsid w:val="00672698"/>
    <w:rsid w:val="0067281D"/>
    <w:rsid w:val="00673765"/>
    <w:rsid w:val="006743D9"/>
    <w:rsid w:val="00674E6E"/>
    <w:rsid w:val="00675B32"/>
    <w:rsid w:val="0067674B"/>
    <w:rsid w:val="00676CEC"/>
    <w:rsid w:val="00676F1B"/>
    <w:rsid w:val="00677453"/>
    <w:rsid w:val="00677ADC"/>
    <w:rsid w:val="00677ECF"/>
    <w:rsid w:val="00677FC0"/>
    <w:rsid w:val="0068009C"/>
    <w:rsid w:val="006802E6"/>
    <w:rsid w:val="00682012"/>
    <w:rsid w:val="00682284"/>
    <w:rsid w:val="006823F2"/>
    <w:rsid w:val="0068297C"/>
    <w:rsid w:val="006829F1"/>
    <w:rsid w:val="00682B34"/>
    <w:rsid w:val="00682C0C"/>
    <w:rsid w:val="00683087"/>
    <w:rsid w:val="006832F2"/>
    <w:rsid w:val="0068370A"/>
    <w:rsid w:val="006842EC"/>
    <w:rsid w:val="006861D5"/>
    <w:rsid w:val="00687530"/>
    <w:rsid w:val="006904EA"/>
    <w:rsid w:val="00690B97"/>
    <w:rsid w:val="00691536"/>
    <w:rsid w:val="00692A24"/>
    <w:rsid w:val="0069304E"/>
    <w:rsid w:val="00695C68"/>
    <w:rsid w:val="00696643"/>
    <w:rsid w:val="00696FA7"/>
    <w:rsid w:val="00696FDC"/>
    <w:rsid w:val="006A011F"/>
    <w:rsid w:val="006A15F2"/>
    <w:rsid w:val="006A17D4"/>
    <w:rsid w:val="006A2662"/>
    <w:rsid w:val="006A3B3A"/>
    <w:rsid w:val="006A47AF"/>
    <w:rsid w:val="006A66DC"/>
    <w:rsid w:val="006A6DCE"/>
    <w:rsid w:val="006A7D93"/>
    <w:rsid w:val="006B04D1"/>
    <w:rsid w:val="006B244C"/>
    <w:rsid w:val="006B50E0"/>
    <w:rsid w:val="006C0E3B"/>
    <w:rsid w:val="006C1023"/>
    <w:rsid w:val="006C4C55"/>
    <w:rsid w:val="006C5B14"/>
    <w:rsid w:val="006C5FFF"/>
    <w:rsid w:val="006C619C"/>
    <w:rsid w:val="006C68C2"/>
    <w:rsid w:val="006C6AE5"/>
    <w:rsid w:val="006D0600"/>
    <w:rsid w:val="006D1F1B"/>
    <w:rsid w:val="006D29F2"/>
    <w:rsid w:val="006D349E"/>
    <w:rsid w:val="006D3960"/>
    <w:rsid w:val="006D6837"/>
    <w:rsid w:val="006D7EF2"/>
    <w:rsid w:val="006E0611"/>
    <w:rsid w:val="006E20C1"/>
    <w:rsid w:val="006E365A"/>
    <w:rsid w:val="006E4C0C"/>
    <w:rsid w:val="006E5066"/>
    <w:rsid w:val="006E566A"/>
    <w:rsid w:val="006E6240"/>
    <w:rsid w:val="006E6727"/>
    <w:rsid w:val="006E6B52"/>
    <w:rsid w:val="006E7993"/>
    <w:rsid w:val="006F059C"/>
    <w:rsid w:val="006F22D2"/>
    <w:rsid w:val="006F4B5B"/>
    <w:rsid w:val="006F5001"/>
    <w:rsid w:val="007001D4"/>
    <w:rsid w:val="007008AB"/>
    <w:rsid w:val="00701813"/>
    <w:rsid w:val="00702804"/>
    <w:rsid w:val="00703211"/>
    <w:rsid w:val="00704225"/>
    <w:rsid w:val="00704FB4"/>
    <w:rsid w:val="0070795D"/>
    <w:rsid w:val="00710FE1"/>
    <w:rsid w:val="00712243"/>
    <w:rsid w:val="007125E2"/>
    <w:rsid w:val="00712673"/>
    <w:rsid w:val="00712BCE"/>
    <w:rsid w:val="007145AA"/>
    <w:rsid w:val="007149B9"/>
    <w:rsid w:val="00715A85"/>
    <w:rsid w:val="00715C63"/>
    <w:rsid w:val="0071695C"/>
    <w:rsid w:val="00717628"/>
    <w:rsid w:val="0072002A"/>
    <w:rsid w:val="0072063E"/>
    <w:rsid w:val="007213D9"/>
    <w:rsid w:val="00724C38"/>
    <w:rsid w:val="00725052"/>
    <w:rsid w:val="00725317"/>
    <w:rsid w:val="00726271"/>
    <w:rsid w:val="007303FE"/>
    <w:rsid w:val="0073068D"/>
    <w:rsid w:val="00730A1C"/>
    <w:rsid w:val="00730B28"/>
    <w:rsid w:val="00730E62"/>
    <w:rsid w:val="0073147A"/>
    <w:rsid w:val="00731EE3"/>
    <w:rsid w:val="00731F31"/>
    <w:rsid w:val="00732FED"/>
    <w:rsid w:val="0073399D"/>
    <w:rsid w:val="00733A43"/>
    <w:rsid w:val="00733B53"/>
    <w:rsid w:val="00734C4E"/>
    <w:rsid w:val="0073544C"/>
    <w:rsid w:val="00735485"/>
    <w:rsid w:val="00736953"/>
    <w:rsid w:val="00737420"/>
    <w:rsid w:val="00737C97"/>
    <w:rsid w:val="00740194"/>
    <w:rsid w:val="007405B2"/>
    <w:rsid w:val="007405C0"/>
    <w:rsid w:val="007406D0"/>
    <w:rsid w:val="0074269D"/>
    <w:rsid w:val="0074281C"/>
    <w:rsid w:val="007443FE"/>
    <w:rsid w:val="0074495D"/>
    <w:rsid w:val="00745C3B"/>
    <w:rsid w:val="007515B4"/>
    <w:rsid w:val="00751DFB"/>
    <w:rsid w:val="00755AE3"/>
    <w:rsid w:val="0075613E"/>
    <w:rsid w:val="0075634C"/>
    <w:rsid w:val="00756C7D"/>
    <w:rsid w:val="00756E27"/>
    <w:rsid w:val="00757D6F"/>
    <w:rsid w:val="00761CA8"/>
    <w:rsid w:val="00762338"/>
    <w:rsid w:val="0076453D"/>
    <w:rsid w:val="00765407"/>
    <w:rsid w:val="007665C8"/>
    <w:rsid w:val="007674D4"/>
    <w:rsid w:val="007676DB"/>
    <w:rsid w:val="007676EF"/>
    <w:rsid w:val="00767803"/>
    <w:rsid w:val="007678F2"/>
    <w:rsid w:val="00767C8E"/>
    <w:rsid w:val="00771205"/>
    <w:rsid w:val="00772560"/>
    <w:rsid w:val="007726E9"/>
    <w:rsid w:val="00773B6B"/>
    <w:rsid w:val="0077472C"/>
    <w:rsid w:val="00774BBB"/>
    <w:rsid w:val="00776C79"/>
    <w:rsid w:val="00777644"/>
    <w:rsid w:val="00780792"/>
    <w:rsid w:val="007812AD"/>
    <w:rsid w:val="0078378B"/>
    <w:rsid w:val="00784272"/>
    <w:rsid w:val="00786FD5"/>
    <w:rsid w:val="007870BD"/>
    <w:rsid w:val="00792DAD"/>
    <w:rsid w:val="00793178"/>
    <w:rsid w:val="00793831"/>
    <w:rsid w:val="0079568F"/>
    <w:rsid w:val="0079636A"/>
    <w:rsid w:val="0079670A"/>
    <w:rsid w:val="007A0B5A"/>
    <w:rsid w:val="007A14E6"/>
    <w:rsid w:val="007A15BE"/>
    <w:rsid w:val="007A2712"/>
    <w:rsid w:val="007A38DF"/>
    <w:rsid w:val="007A39BF"/>
    <w:rsid w:val="007A58F6"/>
    <w:rsid w:val="007A6E24"/>
    <w:rsid w:val="007A778D"/>
    <w:rsid w:val="007A7B74"/>
    <w:rsid w:val="007B1EA2"/>
    <w:rsid w:val="007B2116"/>
    <w:rsid w:val="007B297D"/>
    <w:rsid w:val="007B2D31"/>
    <w:rsid w:val="007B3671"/>
    <w:rsid w:val="007B405D"/>
    <w:rsid w:val="007B4CEF"/>
    <w:rsid w:val="007C0336"/>
    <w:rsid w:val="007C156F"/>
    <w:rsid w:val="007C1619"/>
    <w:rsid w:val="007C1E30"/>
    <w:rsid w:val="007C4CB9"/>
    <w:rsid w:val="007C563F"/>
    <w:rsid w:val="007C5F9D"/>
    <w:rsid w:val="007D036C"/>
    <w:rsid w:val="007D0395"/>
    <w:rsid w:val="007D0493"/>
    <w:rsid w:val="007D09E7"/>
    <w:rsid w:val="007D0CD7"/>
    <w:rsid w:val="007D18D9"/>
    <w:rsid w:val="007D2FF7"/>
    <w:rsid w:val="007D32CA"/>
    <w:rsid w:val="007D3B37"/>
    <w:rsid w:val="007D43EC"/>
    <w:rsid w:val="007D498C"/>
    <w:rsid w:val="007D4E18"/>
    <w:rsid w:val="007D5952"/>
    <w:rsid w:val="007D59C5"/>
    <w:rsid w:val="007D5D14"/>
    <w:rsid w:val="007D6095"/>
    <w:rsid w:val="007D6A75"/>
    <w:rsid w:val="007D7613"/>
    <w:rsid w:val="007D7CC1"/>
    <w:rsid w:val="007D7F41"/>
    <w:rsid w:val="007E0779"/>
    <w:rsid w:val="007E1E83"/>
    <w:rsid w:val="007E219E"/>
    <w:rsid w:val="007E234E"/>
    <w:rsid w:val="007E397A"/>
    <w:rsid w:val="007E3C8B"/>
    <w:rsid w:val="007E3F04"/>
    <w:rsid w:val="007E4EDE"/>
    <w:rsid w:val="007E5C39"/>
    <w:rsid w:val="007E6244"/>
    <w:rsid w:val="007F02DC"/>
    <w:rsid w:val="007F0B02"/>
    <w:rsid w:val="007F1FF5"/>
    <w:rsid w:val="007F4117"/>
    <w:rsid w:val="007F45C3"/>
    <w:rsid w:val="007F48E6"/>
    <w:rsid w:val="007F4EB2"/>
    <w:rsid w:val="007F6466"/>
    <w:rsid w:val="007F6FE8"/>
    <w:rsid w:val="0080078F"/>
    <w:rsid w:val="00801A70"/>
    <w:rsid w:val="0080205D"/>
    <w:rsid w:val="0080236F"/>
    <w:rsid w:val="00802B21"/>
    <w:rsid w:val="00803789"/>
    <w:rsid w:val="00804E87"/>
    <w:rsid w:val="00805603"/>
    <w:rsid w:val="00805951"/>
    <w:rsid w:val="00805A70"/>
    <w:rsid w:val="00805AD5"/>
    <w:rsid w:val="00805E3E"/>
    <w:rsid w:val="008066C0"/>
    <w:rsid w:val="008068ED"/>
    <w:rsid w:val="008079AD"/>
    <w:rsid w:val="0081111F"/>
    <w:rsid w:val="008113C7"/>
    <w:rsid w:val="008131BA"/>
    <w:rsid w:val="00813620"/>
    <w:rsid w:val="00813FB0"/>
    <w:rsid w:val="008155BB"/>
    <w:rsid w:val="0082278A"/>
    <w:rsid w:val="008227B3"/>
    <w:rsid w:val="00822C7F"/>
    <w:rsid w:val="0082497D"/>
    <w:rsid w:val="00824C05"/>
    <w:rsid w:val="0082501F"/>
    <w:rsid w:val="008262A9"/>
    <w:rsid w:val="00826355"/>
    <w:rsid w:val="00826E94"/>
    <w:rsid w:val="00826F66"/>
    <w:rsid w:val="008272CC"/>
    <w:rsid w:val="0082750F"/>
    <w:rsid w:val="0083035C"/>
    <w:rsid w:val="00830A27"/>
    <w:rsid w:val="00830BB7"/>
    <w:rsid w:val="00831089"/>
    <w:rsid w:val="00831105"/>
    <w:rsid w:val="00831EEC"/>
    <w:rsid w:val="00831F27"/>
    <w:rsid w:val="008325A3"/>
    <w:rsid w:val="00832A0D"/>
    <w:rsid w:val="00832B0E"/>
    <w:rsid w:val="00833801"/>
    <w:rsid w:val="00835C1A"/>
    <w:rsid w:val="0083649D"/>
    <w:rsid w:val="00836DB2"/>
    <w:rsid w:val="0083706D"/>
    <w:rsid w:val="0083718A"/>
    <w:rsid w:val="00837E15"/>
    <w:rsid w:val="008404E9"/>
    <w:rsid w:val="0084149C"/>
    <w:rsid w:val="00842055"/>
    <w:rsid w:val="008423C9"/>
    <w:rsid w:val="008435AD"/>
    <w:rsid w:val="0084385A"/>
    <w:rsid w:val="008503C4"/>
    <w:rsid w:val="00852098"/>
    <w:rsid w:val="00852BF8"/>
    <w:rsid w:val="00853173"/>
    <w:rsid w:val="0085326F"/>
    <w:rsid w:val="0085364B"/>
    <w:rsid w:val="00855B84"/>
    <w:rsid w:val="00855F50"/>
    <w:rsid w:val="00856840"/>
    <w:rsid w:val="00856F4B"/>
    <w:rsid w:val="00857ABA"/>
    <w:rsid w:val="00860E4E"/>
    <w:rsid w:val="00863711"/>
    <w:rsid w:val="00865FC9"/>
    <w:rsid w:val="0086645F"/>
    <w:rsid w:val="00866F8C"/>
    <w:rsid w:val="00867CF9"/>
    <w:rsid w:val="00870A8C"/>
    <w:rsid w:val="00870F39"/>
    <w:rsid w:val="00871195"/>
    <w:rsid w:val="00871D0C"/>
    <w:rsid w:val="00873179"/>
    <w:rsid w:val="008739C0"/>
    <w:rsid w:val="008755D3"/>
    <w:rsid w:val="008758FA"/>
    <w:rsid w:val="0087678E"/>
    <w:rsid w:val="00876AFD"/>
    <w:rsid w:val="00876DE0"/>
    <w:rsid w:val="00877F75"/>
    <w:rsid w:val="00882592"/>
    <w:rsid w:val="00882E00"/>
    <w:rsid w:val="0088428D"/>
    <w:rsid w:val="00884482"/>
    <w:rsid w:val="00885FD4"/>
    <w:rsid w:val="00886D96"/>
    <w:rsid w:val="00886E25"/>
    <w:rsid w:val="00887A8B"/>
    <w:rsid w:val="00887C0C"/>
    <w:rsid w:val="0089060F"/>
    <w:rsid w:val="00892BE1"/>
    <w:rsid w:val="00892C74"/>
    <w:rsid w:val="00893274"/>
    <w:rsid w:val="00893FD3"/>
    <w:rsid w:val="0089425B"/>
    <w:rsid w:val="008954D1"/>
    <w:rsid w:val="008977B1"/>
    <w:rsid w:val="00897952"/>
    <w:rsid w:val="008A0035"/>
    <w:rsid w:val="008A1916"/>
    <w:rsid w:val="008A27AF"/>
    <w:rsid w:val="008A326D"/>
    <w:rsid w:val="008A4C77"/>
    <w:rsid w:val="008A59FC"/>
    <w:rsid w:val="008A5DA0"/>
    <w:rsid w:val="008A5E14"/>
    <w:rsid w:val="008A6C7F"/>
    <w:rsid w:val="008B1057"/>
    <w:rsid w:val="008B13AA"/>
    <w:rsid w:val="008B1C55"/>
    <w:rsid w:val="008B3DCC"/>
    <w:rsid w:val="008B59D6"/>
    <w:rsid w:val="008B6F09"/>
    <w:rsid w:val="008C0069"/>
    <w:rsid w:val="008C0F25"/>
    <w:rsid w:val="008C21AE"/>
    <w:rsid w:val="008C3091"/>
    <w:rsid w:val="008C36BD"/>
    <w:rsid w:val="008C4089"/>
    <w:rsid w:val="008C44C3"/>
    <w:rsid w:val="008C537F"/>
    <w:rsid w:val="008C5770"/>
    <w:rsid w:val="008C5E35"/>
    <w:rsid w:val="008C63EB"/>
    <w:rsid w:val="008D0669"/>
    <w:rsid w:val="008D0C0C"/>
    <w:rsid w:val="008D1108"/>
    <w:rsid w:val="008D127D"/>
    <w:rsid w:val="008D23F0"/>
    <w:rsid w:val="008D2C35"/>
    <w:rsid w:val="008D2FDE"/>
    <w:rsid w:val="008D4150"/>
    <w:rsid w:val="008D4FC5"/>
    <w:rsid w:val="008D593F"/>
    <w:rsid w:val="008D5E84"/>
    <w:rsid w:val="008D67F3"/>
    <w:rsid w:val="008D6C1D"/>
    <w:rsid w:val="008D7909"/>
    <w:rsid w:val="008D7993"/>
    <w:rsid w:val="008D7C84"/>
    <w:rsid w:val="008D7E49"/>
    <w:rsid w:val="008E0462"/>
    <w:rsid w:val="008E0832"/>
    <w:rsid w:val="008E0FC4"/>
    <w:rsid w:val="008E178C"/>
    <w:rsid w:val="008E22B4"/>
    <w:rsid w:val="008E2510"/>
    <w:rsid w:val="008E2D1A"/>
    <w:rsid w:val="008E31F7"/>
    <w:rsid w:val="008E4626"/>
    <w:rsid w:val="008E649A"/>
    <w:rsid w:val="008E7FEB"/>
    <w:rsid w:val="008F05E5"/>
    <w:rsid w:val="008F0C76"/>
    <w:rsid w:val="008F112B"/>
    <w:rsid w:val="008F1725"/>
    <w:rsid w:val="008F196A"/>
    <w:rsid w:val="008F2941"/>
    <w:rsid w:val="008F331C"/>
    <w:rsid w:val="008F398E"/>
    <w:rsid w:val="008F43B7"/>
    <w:rsid w:val="008F461B"/>
    <w:rsid w:val="008F6122"/>
    <w:rsid w:val="008F67A6"/>
    <w:rsid w:val="0090055E"/>
    <w:rsid w:val="00901953"/>
    <w:rsid w:val="00901CBE"/>
    <w:rsid w:val="00902CE5"/>
    <w:rsid w:val="00902F75"/>
    <w:rsid w:val="00904197"/>
    <w:rsid w:val="009046AA"/>
    <w:rsid w:val="00905B12"/>
    <w:rsid w:val="0090660C"/>
    <w:rsid w:val="0090665F"/>
    <w:rsid w:val="0090765D"/>
    <w:rsid w:val="00907F81"/>
    <w:rsid w:val="00910991"/>
    <w:rsid w:val="00910BFB"/>
    <w:rsid w:val="00910E1A"/>
    <w:rsid w:val="00911F1B"/>
    <w:rsid w:val="0091450F"/>
    <w:rsid w:val="009153DF"/>
    <w:rsid w:val="0091565E"/>
    <w:rsid w:val="009159FC"/>
    <w:rsid w:val="00917583"/>
    <w:rsid w:val="009219F0"/>
    <w:rsid w:val="00921C0C"/>
    <w:rsid w:val="00922120"/>
    <w:rsid w:val="0092233C"/>
    <w:rsid w:val="00923759"/>
    <w:rsid w:val="00923844"/>
    <w:rsid w:val="0092404A"/>
    <w:rsid w:val="00925863"/>
    <w:rsid w:val="00931596"/>
    <w:rsid w:val="00931663"/>
    <w:rsid w:val="00933687"/>
    <w:rsid w:val="0093545A"/>
    <w:rsid w:val="0093591E"/>
    <w:rsid w:val="00935C13"/>
    <w:rsid w:val="00937113"/>
    <w:rsid w:val="00937CD9"/>
    <w:rsid w:val="00937D4C"/>
    <w:rsid w:val="00937DB5"/>
    <w:rsid w:val="00940977"/>
    <w:rsid w:val="0094436F"/>
    <w:rsid w:val="0094638F"/>
    <w:rsid w:val="00946D6B"/>
    <w:rsid w:val="009472AF"/>
    <w:rsid w:val="00947314"/>
    <w:rsid w:val="00950147"/>
    <w:rsid w:val="00950FAE"/>
    <w:rsid w:val="009510EE"/>
    <w:rsid w:val="00952F1D"/>
    <w:rsid w:val="00953C2B"/>
    <w:rsid w:val="00954566"/>
    <w:rsid w:val="0095678D"/>
    <w:rsid w:val="0096216C"/>
    <w:rsid w:val="009652E6"/>
    <w:rsid w:val="00965B9E"/>
    <w:rsid w:val="00966B1C"/>
    <w:rsid w:val="00966C3D"/>
    <w:rsid w:val="00966C9F"/>
    <w:rsid w:val="0097074F"/>
    <w:rsid w:val="009715D7"/>
    <w:rsid w:val="0097354F"/>
    <w:rsid w:val="009755CB"/>
    <w:rsid w:val="00975FEB"/>
    <w:rsid w:val="0097784A"/>
    <w:rsid w:val="009779DC"/>
    <w:rsid w:val="00977D65"/>
    <w:rsid w:val="00981C9C"/>
    <w:rsid w:val="009822B3"/>
    <w:rsid w:val="009826E1"/>
    <w:rsid w:val="00982D3F"/>
    <w:rsid w:val="00983740"/>
    <w:rsid w:val="00983C14"/>
    <w:rsid w:val="00983CEA"/>
    <w:rsid w:val="00986070"/>
    <w:rsid w:val="00986C32"/>
    <w:rsid w:val="00987930"/>
    <w:rsid w:val="00987D56"/>
    <w:rsid w:val="009900FE"/>
    <w:rsid w:val="00990FD3"/>
    <w:rsid w:val="009922B9"/>
    <w:rsid w:val="00994892"/>
    <w:rsid w:val="00995B25"/>
    <w:rsid w:val="00997666"/>
    <w:rsid w:val="009A0498"/>
    <w:rsid w:val="009A065C"/>
    <w:rsid w:val="009A0CA3"/>
    <w:rsid w:val="009A2EEA"/>
    <w:rsid w:val="009A400D"/>
    <w:rsid w:val="009A42C3"/>
    <w:rsid w:val="009A4435"/>
    <w:rsid w:val="009A45BD"/>
    <w:rsid w:val="009A4875"/>
    <w:rsid w:val="009A4ABF"/>
    <w:rsid w:val="009A5AA6"/>
    <w:rsid w:val="009A71F1"/>
    <w:rsid w:val="009A784D"/>
    <w:rsid w:val="009B0478"/>
    <w:rsid w:val="009B23B2"/>
    <w:rsid w:val="009B43FF"/>
    <w:rsid w:val="009B546F"/>
    <w:rsid w:val="009B73E3"/>
    <w:rsid w:val="009B759F"/>
    <w:rsid w:val="009B778A"/>
    <w:rsid w:val="009C0A9E"/>
    <w:rsid w:val="009C1BC7"/>
    <w:rsid w:val="009C269B"/>
    <w:rsid w:val="009C2E24"/>
    <w:rsid w:val="009C38EA"/>
    <w:rsid w:val="009C3C90"/>
    <w:rsid w:val="009C4A02"/>
    <w:rsid w:val="009C548C"/>
    <w:rsid w:val="009C54D5"/>
    <w:rsid w:val="009C67BD"/>
    <w:rsid w:val="009D02BB"/>
    <w:rsid w:val="009D0E16"/>
    <w:rsid w:val="009D1EA5"/>
    <w:rsid w:val="009D2588"/>
    <w:rsid w:val="009D46BD"/>
    <w:rsid w:val="009D4F14"/>
    <w:rsid w:val="009D553C"/>
    <w:rsid w:val="009D6331"/>
    <w:rsid w:val="009E0F88"/>
    <w:rsid w:val="009E1000"/>
    <w:rsid w:val="009E18CD"/>
    <w:rsid w:val="009E2070"/>
    <w:rsid w:val="009F07CC"/>
    <w:rsid w:val="009F0903"/>
    <w:rsid w:val="009F0CED"/>
    <w:rsid w:val="009F0E81"/>
    <w:rsid w:val="009F1B09"/>
    <w:rsid w:val="009F45CC"/>
    <w:rsid w:val="009F4E9E"/>
    <w:rsid w:val="009F4FC9"/>
    <w:rsid w:val="009F58C9"/>
    <w:rsid w:val="009F5C74"/>
    <w:rsid w:val="009F6B1E"/>
    <w:rsid w:val="00A0031F"/>
    <w:rsid w:val="00A00F5E"/>
    <w:rsid w:val="00A02B01"/>
    <w:rsid w:val="00A03F55"/>
    <w:rsid w:val="00A0520B"/>
    <w:rsid w:val="00A06DCF"/>
    <w:rsid w:val="00A0761D"/>
    <w:rsid w:val="00A10028"/>
    <w:rsid w:val="00A109B8"/>
    <w:rsid w:val="00A10B4F"/>
    <w:rsid w:val="00A11210"/>
    <w:rsid w:val="00A132BB"/>
    <w:rsid w:val="00A137BC"/>
    <w:rsid w:val="00A214E8"/>
    <w:rsid w:val="00A228B1"/>
    <w:rsid w:val="00A2382D"/>
    <w:rsid w:val="00A23D8E"/>
    <w:rsid w:val="00A23FDC"/>
    <w:rsid w:val="00A2530B"/>
    <w:rsid w:val="00A25509"/>
    <w:rsid w:val="00A27842"/>
    <w:rsid w:val="00A300AA"/>
    <w:rsid w:val="00A342E9"/>
    <w:rsid w:val="00A34AC0"/>
    <w:rsid w:val="00A3516F"/>
    <w:rsid w:val="00A3679E"/>
    <w:rsid w:val="00A37FE3"/>
    <w:rsid w:val="00A410EF"/>
    <w:rsid w:val="00A41599"/>
    <w:rsid w:val="00A41894"/>
    <w:rsid w:val="00A418F6"/>
    <w:rsid w:val="00A42FB6"/>
    <w:rsid w:val="00A448F0"/>
    <w:rsid w:val="00A456B7"/>
    <w:rsid w:val="00A45CDA"/>
    <w:rsid w:val="00A465DD"/>
    <w:rsid w:val="00A475EC"/>
    <w:rsid w:val="00A501E6"/>
    <w:rsid w:val="00A52C66"/>
    <w:rsid w:val="00A5335F"/>
    <w:rsid w:val="00A53535"/>
    <w:rsid w:val="00A53766"/>
    <w:rsid w:val="00A54583"/>
    <w:rsid w:val="00A55DDA"/>
    <w:rsid w:val="00A56926"/>
    <w:rsid w:val="00A56C20"/>
    <w:rsid w:val="00A60CC1"/>
    <w:rsid w:val="00A61D37"/>
    <w:rsid w:val="00A62AA3"/>
    <w:rsid w:val="00A63C54"/>
    <w:rsid w:val="00A65D00"/>
    <w:rsid w:val="00A66064"/>
    <w:rsid w:val="00A66B4E"/>
    <w:rsid w:val="00A67063"/>
    <w:rsid w:val="00A67675"/>
    <w:rsid w:val="00A67AF9"/>
    <w:rsid w:val="00A70EC8"/>
    <w:rsid w:val="00A70FBD"/>
    <w:rsid w:val="00A71F22"/>
    <w:rsid w:val="00A7209D"/>
    <w:rsid w:val="00A7234D"/>
    <w:rsid w:val="00A73B9D"/>
    <w:rsid w:val="00A75DED"/>
    <w:rsid w:val="00A82A6B"/>
    <w:rsid w:val="00A8338D"/>
    <w:rsid w:val="00A85281"/>
    <w:rsid w:val="00A87279"/>
    <w:rsid w:val="00A8760A"/>
    <w:rsid w:val="00A87C94"/>
    <w:rsid w:val="00A90B05"/>
    <w:rsid w:val="00A9221F"/>
    <w:rsid w:val="00A92594"/>
    <w:rsid w:val="00A936FB"/>
    <w:rsid w:val="00A937BF"/>
    <w:rsid w:val="00A93C31"/>
    <w:rsid w:val="00A93E69"/>
    <w:rsid w:val="00A954BF"/>
    <w:rsid w:val="00A961B5"/>
    <w:rsid w:val="00A9641B"/>
    <w:rsid w:val="00A97C4D"/>
    <w:rsid w:val="00AA070D"/>
    <w:rsid w:val="00AA0F9E"/>
    <w:rsid w:val="00AA1A56"/>
    <w:rsid w:val="00AA28B6"/>
    <w:rsid w:val="00AA29E4"/>
    <w:rsid w:val="00AA4021"/>
    <w:rsid w:val="00AA4E5D"/>
    <w:rsid w:val="00AA50CC"/>
    <w:rsid w:val="00AA5BF0"/>
    <w:rsid w:val="00AA6C3E"/>
    <w:rsid w:val="00AA701D"/>
    <w:rsid w:val="00AB0057"/>
    <w:rsid w:val="00AB18C4"/>
    <w:rsid w:val="00AB1911"/>
    <w:rsid w:val="00AB2890"/>
    <w:rsid w:val="00AB2A0F"/>
    <w:rsid w:val="00AB338A"/>
    <w:rsid w:val="00AB4CBA"/>
    <w:rsid w:val="00AB58C9"/>
    <w:rsid w:val="00AB594E"/>
    <w:rsid w:val="00AB5B28"/>
    <w:rsid w:val="00AB70FF"/>
    <w:rsid w:val="00AB7892"/>
    <w:rsid w:val="00AB7F62"/>
    <w:rsid w:val="00AC02C4"/>
    <w:rsid w:val="00AC07EB"/>
    <w:rsid w:val="00AC2339"/>
    <w:rsid w:val="00AC43A2"/>
    <w:rsid w:val="00AC57E4"/>
    <w:rsid w:val="00AC6323"/>
    <w:rsid w:val="00AC6A84"/>
    <w:rsid w:val="00AC6E7F"/>
    <w:rsid w:val="00AC705F"/>
    <w:rsid w:val="00AC792C"/>
    <w:rsid w:val="00AC7CBE"/>
    <w:rsid w:val="00AD0051"/>
    <w:rsid w:val="00AD0190"/>
    <w:rsid w:val="00AD0F72"/>
    <w:rsid w:val="00AD1336"/>
    <w:rsid w:val="00AD228C"/>
    <w:rsid w:val="00AD22BF"/>
    <w:rsid w:val="00AD3498"/>
    <w:rsid w:val="00AD464C"/>
    <w:rsid w:val="00AD4A31"/>
    <w:rsid w:val="00AD4CA8"/>
    <w:rsid w:val="00AD61A7"/>
    <w:rsid w:val="00AE1040"/>
    <w:rsid w:val="00AE17B3"/>
    <w:rsid w:val="00AE31A6"/>
    <w:rsid w:val="00AE3FCC"/>
    <w:rsid w:val="00AE50E7"/>
    <w:rsid w:val="00AE573B"/>
    <w:rsid w:val="00AE5FC5"/>
    <w:rsid w:val="00AE63CE"/>
    <w:rsid w:val="00AE7ED0"/>
    <w:rsid w:val="00AF0B2D"/>
    <w:rsid w:val="00AF1935"/>
    <w:rsid w:val="00AF1944"/>
    <w:rsid w:val="00AF2348"/>
    <w:rsid w:val="00AF2686"/>
    <w:rsid w:val="00AF2E96"/>
    <w:rsid w:val="00AF4F98"/>
    <w:rsid w:val="00AF504B"/>
    <w:rsid w:val="00AF5A45"/>
    <w:rsid w:val="00AF7F67"/>
    <w:rsid w:val="00B000C5"/>
    <w:rsid w:val="00B01799"/>
    <w:rsid w:val="00B02F9E"/>
    <w:rsid w:val="00B03EDA"/>
    <w:rsid w:val="00B04B76"/>
    <w:rsid w:val="00B04FC3"/>
    <w:rsid w:val="00B05A08"/>
    <w:rsid w:val="00B06474"/>
    <w:rsid w:val="00B06934"/>
    <w:rsid w:val="00B10168"/>
    <w:rsid w:val="00B106AC"/>
    <w:rsid w:val="00B115E3"/>
    <w:rsid w:val="00B11D59"/>
    <w:rsid w:val="00B12A3F"/>
    <w:rsid w:val="00B12FCF"/>
    <w:rsid w:val="00B131D7"/>
    <w:rsid w:val="00B135BC"/>
    <w:rsid w:val="00B15020"/>
    <w:rsid w:val="00B155B9"/>
    <w:rsid w:val="00B1573C"/>
    <w:rsid w:val="00B159B6"/>
    <w:rsid w:val="00B15FCF"/>
    <w:rsid w:val="00B16537"/>
    <w:rsid w:val="00B175D7"/>
    <w:rsid w:val="00B1764F"/>
    <w:rsid w:val="00B212F6"/>
    <w:rsid w:val="00B21F7F"/>
    <w:rsid w:val="00B24152"/>
    <w:rsid w:val="00B24917"/>
    <w:rsid w:val="00B24952"/>
    <w:rsid w:val="00B249B4"/>
    <w:rsid w:val="00B24D0E"/>
    <w:rsid w:val="00B24F4E"/>
    <w:rsid w:val="00B257BA"/>
    <w:rsid w:val="00B25DAD"/>
    <w:rsid w:val="00B26601"/>
    <w:rsid w:val="00B276A1"/>
    <w:rsid w:val="00B27FC9"/>
    <w:rsid w:val="00B31192"/>
    <w:rsid w:val="00B33B41"/>
    <w:rsid w:val="00B33D14"/>
    <w:rsid w:val="00B3513E"/>
    <w:rsid w:val="00B40D00"/>
    <w:rsid w:val="00B40DF8"/>
    <w:rsid w:val="00B413E8"/>
    <w:rsid w:val="00B415B2"/>
    <w:rsid w:val="00B4162D"/>
    <w:rsid w:val="00B417BC"/>
    <w:rsid w:val="00B42017"/>
    <w:rsid w:val="00B425CC"/>
    <w:rsid w:val="00B42695"/>
    <w:rsid w:val="00B42DD6"/>
    <w:rsid w:val="00B45355"/>
    <w:rsid w:val="00B45BFC"/>
    <w:rsid w:val="00B461AE"/>
    <w:rsid w:val="00B4792C"/>
    <w:rsid w:val="00B51122"/>
    <w:rsid w:val="00B528AF"/>
    <w:rsid w:val="00B534CA"/>
    <w:rsid w:val="00B53E3B"/>
    <w:rsid w:val="00B54D70"/>
    <w:rsid w:val="00B555B1"/>
    <w:rsid w:val="00B5561E"/>
    <w:rsid w:val="00B55B5E"/>
    <w:rsid w:val="00B5786A"/>
    <w:rsid w:val="00B579C3"/>
    <w:rsid w:val="00B64210"/>
    <w:rsid w:val="00B64FB3"/>
    <w:rsid w:val="00B65112"/>
    <w:rsid w:val="00B655B7"/>
    <w:rsid w:val="00B66518"/>
    <w:rsid w:val="00B66641"/>
    <w:rsid w:val="00B67094"/>
    <w:rsid w:val="00B70DA3"/>
    <w:rsid w:val="00B71D37"/>
    <w:rsid w:val="00B72D03"/>
    <w:rsid w:val="00B730B4"/>
    <w:rsid w:val="00B735FD"/>
    <w:rsid w:val="00B73CEA"/>
    <w:rsid w:val="00B7490C"/>
    <w:rsid w:val="00B75788"/>
    <w:rsid w:val="00B76222"/>
    <w:rsid w:val="00B76A69"/>
    <w:rsid w:val="00B8035B"/>
    <w:rsid w:val="00B805D5"/>
    <w:rsid w:val="00B80AD8"/>
    <w:rsid w:val="00B836D2"/>
    <w:rsid w:val="00B83AAC"/>
    <w:rsid w:val="00B852DD"/>
    <w:rsid w:val="00B87AF8"/>
    <w:rsid w:val="00B91B7D"/>
    <w:rsid w:val="00B91BE4"/>
    <w:rsid w:val="00B91FE3"/>
    <w:rsid w:val="00B92778"/>
    <w:rsid w:val="00B944CE"/>
    <w:rsid w:val="00B951D5"/>
    <w:rsid w:val="00B951E1"/>
    <w:rsid w:val="00B95F2B"/>
    <w:rsid w:val="00B97971"/>
    <w:rsid w:val="00B97E5E"/>
    <w:rsid w:val="00BA012A"/>
    <w:rsid w:val="00BA0C44"/>
    <w:rsid w:val="00BA3ED0"/>
    <w:rsid w:val="00BA513C"/>
    <w:rsid w:val="00BA72AC"/>
    <w:rsid w:val="00BB1140"/>
    <w:rsid w:val="00BB11F2"/>
    <w:rsid w:val="00BB1372"/>
    <w:rsid w:val="00BB20BF"/>
    <w:rsid w:val="00BB2D15"/>
    <w:rsid w:val="00BB3679"/>
    <w:rsid w:val="00BB406A"/>
    <w:rsid w:val="00BB4A94"/>
    <w:rsid w:val="00BB4D6F"/>
    <w:rsid w:val="00BB7BF6"/>
    <w:rsid w:val="00BB7D4A"/>
    <w:rsid w:val="00BC083D"/>
    <w:rsid w:val="00BC2D06"/>
    <w:rsid w:val="00BC39D2"/>
    <w:rsid w:val="00BC4515"/>
    <w:rsid w:val="00BC6F5C"/>
    <w:rsid w:val="00BC7569"/>
    <w:rsid w:val="00BC79DA"/>
    <w:rsid w:val="00BD6642"/>
    <w:rsid w:val="00BE0DDA"/>
    <w:rsid w:val="00BE1476"/>
    <w:rsid w:val="00BE181D"/>
    <w:rsid w:val="00BE372B"/>
    <w:rsid w:val="00BE4FB9"/>
    <w:rsid w:val="00BE7291"/>
    <w:rsid w:val="00BF2198"/>
    <w:rsid w:val="00BF22EA"/>
    <w:rsid w:val="00BF297F"/>
    <w:rsid w:val="00BF452C"/>
    <w:rsid w:val="00BF4F3B"/>
    <w:rsid w:val="00BF55FF"/>
    <w:rsid w:val="00BF58E1"/>
    <w:rsid w:val="00BF5AFA"/>
    <w:rsid w:val="00BF5B9A"/>
    <w:rsid w:val="00BF671F"/>
    <w:rsid w:val="00C0234E"/>
    <w:rsid w:val="00C0294C"/>
    <w:rsid w:val="00C0306A"/>
    <w:rsid w:val="00C039D7"/>
    <w:rsid w:val="00C045D0"/>
    <w:rsid w:val="00C05EC7"/>
    <w:rsid w:val="00C06508"/>
    <w:rsid w:val="00C06B4B"/>
    <w:rsid w:val="00C072B5"/>
    <w:rsid w:val="00C07F1F"/>
    <w:rsid w:val="00C1109A"/>
    <w:rsid w:val="00C114AC"/>
    <w:rsid w:val="00C1233D"/>
    <w:rsid w:val="00C1243D"/>
    <w:rsid w:val="00C12F5E"/>
    <w:rsid w:val="00C13416"/>
    <w:rsid w:val="00C13658"/>
    <w:rsid w:val="00C13C95"/>
    <w:rsid w:val="00C16199"/>
    <w:rsid w:val="00C161BC"/>
    <w:rsid w:val="00C16873"/>
    <w:rsid w:val="00C168E7"/>
    <w:rsid w:val="00C174FC"/>
    <w:rsid w:val="00C1759A"/>
    <w:rsid w:val="00C20249"/>
    <w:rsid w:val="00C2125F"/>
    <w:rsid w:val="00C22589"/>
    <w:rsid w:val="00C22C7C"/>
    <w:rsid w:val="00C235BC"/>
    <w:rsid w:val="00C2425F"/>
    <w:rsid w:val="00C25BEF"/>
    <w:rsid w:val="00C30AD4"/>
    <w:rsid w:val="00C30B07"/>
    <w:rsid w:val="00C329B9"/>
    <w:rsid w:val="00C32AFD"/>
    <w:rsid w:val="00C33175"/>
    <w:rsid w:val="00C3331D"/>
    <w:rsid w:val="00C33F57"/>
    <w:rsid w:val="00C34FFB"/>
    <w:rsid w:val="00C365A8"/>
    <w:rsid w:val="00C37968"/>
    <w:rsid w:val="00C37A89"/>
    <w:rsid w:val="00C37B48"/>
    <w:rsid w:val="00C40012"/>
    <w:rsid w:val="00C41038"/>
    <w:rsid w:val="00C413E1"/>
    <w:rsid w:val="00C41CFD"/>
    <w:rsid w:val="00C42003"/>
    <w:rsid w:val="00C4306A"/>
    <w:rsid w:val="00C437C5"/>
    <w:rsid w:val="00C43C79"/>
    <w:rsid w:val="00C43CB5"/>
    <w:rsid w:val="00C44836"/>
    <w:rsid w:val="00C45299"/>
    <w:rsid w:val="00C459CF"/>
    <w:rsid w:val="00C45AAF"/>
    <w:rsid w:val="00C47634"/>
    <w:rsid w:val="00C502AF"/>
    <w:rsid w:val="00C505C8"/>
    <w:rsid w:val="00C51391"/>
    <w:rsid w:val="00C52719"/>
    <w:rsid w:val="00C532FD"/>
    <w:rsid w:val="00C54072"/>
    <w:rsid w:val="00C549A6"/>
    <w:rsid w:val="00C55A0C"/>
    <w:rsid w:val="00C55F1B"/>
    <w:rsid w:val="00C56F93"/>
    <w:rsid w:val="00C570EF"/>
    <w:rsid w:val="00C57160"/>
    <w:rsid w:val="00C57430"/>
    <w:rsid w:val="00C637B4"/>
    <w:rsid w:val="00C646FA"/>
    <w:rsid w:val="00C6487B"/>
    <w:rsid w:val="00C6542C"/>
    <w:rsid w:val="00C65C79"/>
    <w:rsid w:val="00C66150"/>
    <w:rsid w:val="00C66AF2"/>
    <w:rsid w:val="00C67890"/>
    <w:rsid w:val="00C67A63"/>
    <w:rsid w:val="00C67E33"/>
    <w:rsid w:val="00C67F13"/>
    <w:rsid w:val="00C70DA2"/>
    <w:rsid w:val="00C72F92"/>
    <w:rsid w:val="00C736C4"/>
    <w:rsid w:val="00C74DB4"/>
    <w:rsid w:val="00C74EAB"/>
    <w:rsid w:val="00C77BC5"/>
    <w:rsid w:val="00C77E0F"/>
    <w:rsid w:val="00C77EA2"/>
    <w:rsid w:val="00C803A0"/>
    <w:rsid w:val="00C81EBA"/>
    <w:rsid w:val="00C8455F"/>
    <w:rsid w:val="00C84763"/>
    <w:rsid w:val="00C84865"/>
    <w:rsid w:val="00C85BB5"/>
    <w:rsid w:val="00C860E2"/>
    <w:rsid w:val="00C86650"/>
    <w:rsid w:val="00C866CB"/>
    <w:rsid w:val="00C871BD"/>
    <w:rsid w:val="00C912FA"/>
    <w:rsid w:val="00C92D2D"/>
    <w:rsid w:val="00C95572"/>
    <w:rsid w:val="00C97D99"/>
    <w:rsid w:val="00CA1184"/>
    <w:rsid w:val="00CA1926"/>
    <w:rsid w:val="00CA1A72"/>
    <w:rsid w:val="00CA1A83"/>
    <w:rsid w:val="00CA2D1B"/>
    <w:rsid w:val="00CA341A"/>
    <w:rsid w:val="00CA406E"/>
    <w:rsid w:val="00CA4196"/>
    <w:rsid w:val="00CB06B3"/>
    <w:rsid w:val="00CB0D58"/>
    <w:rsid w:val="00CB2B56"/>
    <w:rsid w:val="00CB3D52"/>
    <w:rsid w:val="00CB5157"/>
    <w:rsid w:val="00CB5200"/>
    <w:rsid w:val="00CB5D98"/>
    <w:rsid w:val="00CB5EAC"/>
    <w:rsid w:val="00CB6702"/>
    <w:rsid w:val="00CB743E"/>
    <w:rsid w:val="00CB76B5"/>
    <w:rsid w:val="00CC0494"/>
    <w:rsid w:val="00CC0973"/>
    <w:rsid w:val="00CC0E6F"/>
    <w:rsid w:val="00CC5315"/>
    <w:rsid w:val="00CC602E"/>
    <w:rsid w:val="00CC64C6"/>
    <w:rsid w:val="00CC7F9B"/>
    <w:rsid w:val="00CD0803"/>
    <w:rsid w:val="00CD085B"/>
    <w:rsid w:val="00CD17DA"/>
    <w:rsid w:val="00CD277B"/>
    <w:rsid w:val="00CD37A9"/>
    <w:rsid w:val="00CD4376"/>
    <w:rsid w:val="00CD6856"/>
    <w:rsid w:val="00CD69E8"/>
    <w:rsid w:val="00CE01D9"/>
    <w:rsid w:val="00CE122C"/>
    <w:rsid w:val="00CE4204"/>
    <w:rsid w:val="00CE4576"/>
    <w:rsid w:val="00CE6259"/>
    <w:rsid w:val="00CE65FC"/>
    <w:rsid w:val="00CE6EA9"/>
    <w:rsid w:val="00CE725E"/>
    <w:rsid w:val="00CF1F85"/>
    <w:rsid w:val="00CF3024"/>
    <w:rsid w:val="00CF305F"/>
    <w:rsid w:val="00CF450D"/>
    <w:rsid w:val="00CF6891"/>
    <w:rsid w:val="00CF738A"/>
    <w:rsid w:val="00CF7DE0"/>
    <w:rsid w:val="00CF7FEF"/>
    <w:rsid w:val="00D00D5F"/>
    <w:rsid w:val="00D00F05"/>
    <w:rsid w:val="00D01BE2"/>
    <w:rsid w:val="00D01E92"/>
    <w:rsid w:val="00D03C04"/>
    <w:rsid w:val="00D03F63"/>
    <w:rsid w:val="00D06933"/>
    <w:rsid w:val="00D072D2"/>
    <w:rsid w:val="00D07943"/>
    <w:rsid w:val="00D07BE1"/>
    <w:rsid w:val="00D10FA9"/>
    <w:rsid w:val="00D11990"/>
    <w:rsid w:val="00D13679"/>
    <w:rsid w:val="00D13802"/>
    <w:rsid w:val="00D13EFE"/>
    <w:rsid w:val="00D14193"/>
    <w:rsid w:val="00D148B9"/>
    <w:rsid w:val="00D14C29"/>
    <w:rsid w:val="00D16FB0"/>
    <w:rsid w:val="00D216E1"/>
    <w:rsid w:val="00D24B55"/>
    <w:rsid w:val="00D255D2"/>
    <w:rsid w:val="00D304AE"/>
    <w:rsid w:val="00D330DE"/>
    <w:rsid w:val="00D341C8"/>
    <w:rsid w:val="00D34515"/>
    <w:rsid w:val="00D349EF"/>
    <w:rsid w:val="00D3528F"/>
    <w:rsid w:val="00D36AC3"/>
    <w:rsid w:val="00D37627"/>
    <w:rsid w:val="00D423D7"/>
    <w:rsid w:val="00D4301D"/>
    <w:rsid w:val="00D43074"/>
    <w:rsid w:val="00D4351F"/>
    <w:rsid w:val="00D43AFF"/>
    <w:rsid w:val="00D43E60"/>
    <w:rsid w:val="00D460D4"/>
    <w:rsid w:val="00D46883"/>
    <w:rsid w:val="00D46A66"/>
    <w:rsid w:val="00D46BF4"/>
    <w:rsid w:val="00D46F7B"/>
    <w:rsid w:val="00D4737F"/>
    <w:rsid w:val="00D50EBA"/>
    <w:rsid w:val="00D51085"/>
    <w:rsid w:val="00D51892"/>
    <w:rsid w:val="00D51CD1"/>
    <w:rsid w:val="00D52CF5"/>
    <w:rsid w:val="00D52D0D"/>
    <w:rsid w:val="00D53625"/>
    <w:rsid w:val="00D54919"/>
    <w:rsid w:val="00D55438"/>
    <w:rsid w:val="00D554FB"/>
    <w:rsid w:val="00D55938"/>
    <w:rsid w:val="00D56303"/>
    <w:rsid w:val="00D565C1"/>
    <w:rsid w:val="00D60C9D"/>
    <w:rsid w:val="00D62FBD"/>
    <w:rsid w:val="00D63C70"/>
    <w:rsid w:val="00D63D1C"/>
    <w:rsid w:val="00D66DC0"/>
    <w:rsid w:val="00D70F4C"/>
    <w:rsid w:val="00D70FF3"/>
    <w:rsid w:val="00D73109"/>
    <w:rsid w:val="00D731EE"/>
    <w:rsid w:val="00D73F6B"/>
    <w:rsid w:val="00D742B6"/>
    <w:rsid w:val="00D75919"/>
    <w:rsid w:val="00D810C3"/>
    <w:rsid w:val="00D81A67"/>
    <w:rsid w:val="00D83A4C"/>
    <w:rsid w:val="00D84267"/>
    <w:rsid w:val="00D849BC"/>
    <w:rsid w:val="00D859F6"/>
    <w:rsid w:val="00D86EEC"/>
    <w:rsid w:val="00D87A9F"/>
    <w:rsid w:val="00D90113"/>
    <w:rsid w:val="00D902BB"/>
    <w:rsid w:val="00D90A14"/>
    <w:rsid w:val="00D92C30"/>
    <w:rsid w:val="00D93D5C"/>
    <w:rsid w:val="00D93EBE"/>
    <w:rsid w:val="00D93FA2"/>
    <w:rsid w:val="00D949D3"/>
    <w:rsid w:val="00D96494"/>
    <w:rsid w:val="00D976A8"/>
    <w:rsid w:val="00DA0AFA"/>
    <w:rsid w:val="00DA1998"/>
    <w:rsid w:val="00DA1E97"/>
    <w:rsid w:val="00DA2C27"/>
    <w:rsid w:val="00DA325F"/>
    <w:rsid w:val="00DA4252"/>
    <w:rsid w:val="00DA455E"/>
    <w:rsid w:val="00DA54DA"/>
    <w:rsid w:val="00DA680C"/>
    <w:rsid w:val="00DA6FC1"/>
    <w:rsid w:val="00DB2B42"/>
    <w:rsid w:val="00DB440E"/>
    <w:rsid w:val="00DB4876"/>
    <w:rsid w:val="00DB5449"/>
    <w:rsid w:val="00DB6E02"/>
    <w:rsid w:val="00DC0393"/>
    <w:rsid w:val="00DC0959"/>
    <w:rsid w:val="00DC0F13"/>
    <w:rsid w:val="00DC160D"/>
    <w:rsid w:val="00DC2075"/>
    <w:rsid w:val="00DC23F6"/>
    <w:rsid w:val="00DC32EA"/>
    <w:rsid w:val="00DC3519"/>
    <w:rsid w:val="00DC4760"/>
    <w:rsid w:val="00DC5E6B"/>
    <w:rsid w:val="00DC71F9"/>
    <w:rsid w:val="00DD0F57"/>
    <w:rsid w:val="00DD1516"/>
    <w:rsid w:val="00DD1754"/>
    <w:rsid w:val="00DD3379"/>
    <w:rsid w:val="00DD44C2"/>
    <w:rsid w:val="00DD52EC"/>
    <w:rsid w:val="00DD55FA"/>
    <w:rsid w:val="00DD7256"/>
    <w:rsid w:val="00DE0FD8"/>
    <w:rsid w:val="00DE1A7F"/>
    <w:rsid w:val="00DE351E"/>
    <w:rsid w:val="00DE3AAF"/>
    <w:rsid w:val="00DE3E3D"/>
    <w:rsid w:val="00DE592B"/>
    <w:rsid w:val="00DE5D31"/>
    <w:rsid w:val="00DE643C"/>
    <w:rsid w:val="00DE6A68"/>
    <w:rsid w:val="00DE7676"/>
    <w:rsid w:val="00DF02A1"/>
    <w:rsid w:val="00DF0D29"/>
    <w:rsid w:val="00DF0D7D"/>
    <w:rsid w:val="00DF1DBE"/>
    <w:rsid w:val="00DF1F4F"/>
    <w:rsid w:val="00DF2818"/>
    <w:rsid w:val="00DF2A6D"/>
    <w:rsid w:val="00DF55FB"/>
    <w:rsid w:val="00DF61EF"/>
    <w:rsid w:val="00E0045A"/>
    <w:rsid w:val="00E0049E"/>
    <w:rsid w:val="00E0068A"/>
    <w:rsid w:val="00E03852"/>
    <w:rsid w:val="00E03B71"/>
    <w:rsid w:val="00E04491"/>
    <w:rsid w:val="00E05375"/>
    <w:rsid w:val="00E05C71"/>
    <w:rsid w:val="00E05F3F"/>
    <w:rsid w:val="00E075C9"/>
    <w:rsid w:val="00E10FA5"/>
    <w:rsid w:val="00E110AA"/>
    <w:rsid w:val="00E11CA6"/>
    <w:rsid w:val="00E11FDB"/>
    <w:rsid w:val="00E120F3"/>
    <w:rsid w:val="00E12CDB"/>
    <w:rsid w:val="00E13337"/>
    <w:rsid w:val="00E14825"/>
    <w:rsid w:val="00E154ED"/>
    <w:rsid w:val="00E15D3F"/>
    <w:rsid w:val="00E205C7"/>
    <w:rsid w:val="00E20891"/>
    <w:rsid w:val="00E2161B"/>
    <w:rsid w:val="00E21D30"/>
    <w:rsid w:val="00E22FAE"/>
    <w:rsid w:val="00E232E0"/>
    <w:rsid w:val="00E24D47"/>
    <w:rsid w:val="00E2528F"/>
    <w:rsid w:val="00E26DD0"/>
    <w:rsid w:val="00E3351D"/>
    <w:rsid w:val="00E337BF"/>
    <w:rsid w:val="00E34227"/>
    <w:rsid w:val="00E34D41"/>
    <w:rsid w:val="00E37A6C"/>
    <w:rsid w:val="00E37AFD"/>
    <w:rsid w:val="00E404C0"/>
    <w:rsid w:val="00E40869"/>
    <w:rsid w:val="00E417A0"/>
    <w:rsid w:val="00E4211B"/>
    <w:rsid w:val="00E43957"/>
    <w:rsid w:val="00E4491B"/>
    <w:rsid w:val="00E44ADB"/>
    <w:rsid w:val="00E44AE4"/>
    <w:rsid w:val="00E46A74"/>
    <w:rsid w:val="00E50A21"/>
    <w:rsid w:val="00E51914"/>
    <w:rsid w:val="00E52A57"/>
    <w:rsid w:val="00E52F07"/>
    <w:rsid w:val="00E54647"/>
    <w:rsid w:val="00E54C85"/>
    <w:rsid w:val="00E54F92"/>
    <w:rsid w:val="00E55530"/>
    <w:rsid w:val="00E5559D"/>
    <w:rsid w:val="00E61665"/>
    <w:rsid w:val="00E62F26"/>
    <w:rsid w:val="00E648AA"/>
    <w:rsid w:val="00E64D87"/>
    <w:rsid w:val="00E6514B"/>
    <w:rsid w:val="00E6643E"/>
    <w:rsid w:val="00E664A7"/>
    <w:rsid w:val="00E66A1A"/>
    <w:rsid w:val="00E66FEC"/>
    <w:rsid w:val="00E679C1"/>
    <w:rsid w:val="00E701CD"/>
    <w:rsid w:val="00E70FF9"/>
    <w:rsid w:val="00E71FFE"/>
    <w:rsid w:val="00E72093"/>
    <w:rsid w:val="00E727AD"/>
    <w:rsid w:val="00E7304B"/>
    <w:rsid w:val="00E73A39"/>
    <w:rsid w:val="00E73B27"/>
    <w:rsid w:val="00E73EBA"/>
    <w:rsid w:val="00E7430F"/>
    <w:rsid w:val="00E766EB"/>
    <w:rsid w:val="00E76966"/>
    <w:rsid w:val="00E76F2B"/>
    <w:rsid w:val="00E770F9"/>
    <w:rsid w:val="00E77579"/>
    <w:rsid w:val="00E77FE3"/>
    <w:rsid w:val="00E80272"/>
    <w:rsid w:val="00E807D6"/>
    <w:rsid w:val="00E81FCD"/>
    <w:rsid w:val="00E81FFD"/>
    <w:rsid w:val="00E82016"/>
    <w:rsid w:val="00E82057"/>
    <w:rsid w:val="00E83A76"/>
    <w:rsid w:val="00E84A65"/>
    <w:rsid w:val="00E84B71"/>
    <w:rsid w:val="00E84BBA"/>
    <w:rsid w:val="00E85423"/>
    <w:rsid w:val="00E869CC"/>
    <w:rsid w:val="00E8753A"/>
    <w:rsid w:val="00E87726"/>
    <w:rsid w:val="00E87C6A"/>
    <w:rsid w:val="00E90823"/>
    <w:rsid w:val="00E915B0"/>
    <w:rsid w:val="00E92805"/>
    <w:rsid w:val="00E92E0D"/>
    <w:rsid w:val="00E93F95"/>
    <w:rsid w:val="00E942CC"/>
    <w:rsid w:val="00E9441A"/>
    <w:rsid w:val="00E96CC5"/>
    <w:rsid w:val="00E96DC1"/>
    <w:rsid w:val="00EA1E5D"/>
    <w:rsid w:val="00EA3B21"/>
    <w:rsid w:val="00EA4A8A"/>
    <w:rsid w:val="00EA501B"/>
    <w:rsid w:val="00EA5316"/>
    <w:rsid w:val="00EB0010"/>
    <w:rsid w:val="00EB0156"/>
    <w:rsid w:val="00EB0247"/>
    <w:rsid w:val="00EB1629"/>
    <w:rsid w:val="00EB1DAB"/>
    <w:rsid w:val="00EB3371"/>
    <w:rsid w:val="00EB54FF"/>
    <w:rsid w:val="00EB5972"/>
    <w:rsid w:val="00EB5A32"/>
    <w:rsid w:val="00EB5DF6"/>
    <w:rsid w:val="00EB6358"/>
    <w:rsid w:val="00EB696F"/>
    <w:rsid w:val="00EB6C64"/>
    <w:rsid w:val="00EB7C2D"/>
    <w:rsid w:val="00EB7EBF"/>
    <w:rsid w:val="00EC3258"/>
    <w:rsid w:val="00EC5225"/>
    <w:rsid w:val="00EC5DD8"/>
    <w:rsid w:val="00EC5FBC"/>
    <w:rsid w:val="00EC72B1"/>
    <w:rsid w:val="00ED0308"/>
    <w:rsid w:val="00ED0872"/>
    <w:rsid w:val="00ED20D7"/>
    <w:rsid w:val="00ED5BE2"/>
    <w:rsid w:val="00ED60C6"/>
    <w:rsid w:val="00ED62A4"/>
    <w:rsid w:val="00ED67D9"/>
    <w:rsid w:val="00EE0F4A"/>
    <w:rsid w:val="00EE17BA"/>
    <w:rsid w:val="00EE1A5D"/>
    <w:rsid w:val="00EE2059"/>
    <w:rsid w:val="00EE2AAF"/>
    <w:rsid w:val="00EE32B0"/>
    <w:rsid w:val="00EE3AF5"/>
    <w:rsid w:val="00EE3BC8"/>
    <w:rsid w:val="00EE4A9A"/>
    <w:rsid w:val="00EE4F3E"/>
    <w:rsid w:val="00EE57E3"/>
    <w:rsid w:val="00EE5FF0"/>
    <w:rsid w:val="00EE68E0"/>
    <w:rsid w:val="00EF03A4"/>
    <w:rsid w:val="00EF0706"/>
    <w:rsid w:val="00EF0B41"/>
    <w:rsid w:val="00EF10E5"/>
    <w:rsid w:val="00EF1A35"/>
    <w:rsid w:val="00EF405E"/>
    <w:rsid w:val="00EF48C6"/>
    <w:rsid w:val="00EF4B6A"/>
    <w:rsid w:val="00EF4E91"/>
    <w:rsid w:val="00EF58C5"/>
    <w:rsid w:val="00EF651B"/>
    <w:rsid w:val="00EF7594"/>
    <w:rsid w:val="00EF7BFF"/>
    <w:rsid w:val="00F0198D"/>
    <w:rsid w:val="00F01EA7"/>
    <w:rsid w:val="00F024BA"/>
    <w:rsid w:val="00F03816"/>
    <w:rsid w:val="00F03F47"/>
    <w:rsid w:val="00F04406"/>
    <w:rsid w:val="00F04CBD"/>
    <w:rsid w:val="00F05478"/>
    <w:rsid w:val="00F0564A"/>
    <w:rsid w:val="00F06297"/>
    <w:rsid w:val="00F073A2"/>
    <w:rsid w:val="00F20EEE"/>
    <w:rsid w:val="00F22A46"/>
    <w:rsid w:val="00F22ECB"/>
    <w:rsid w:val="00F2350F"/>
    <w:rsid w:val="00F249A0"/>
    <w:rsid w:val="00F25196"/>
    <w:rsid w:val="00F26156"/>
    <w:rsid w:val="00F274A2"/>
    <w:rsid w:val="00F275E2"/>
    <w:rsid w:val="00F302C6"/>
    <w:rsid w:val="00F31D13"/>
    <w:rsid w:val="00F31E41"/>
    <w:rsid w:val="00F3263D"/>
    <w:rsid w:val="00F33F85"/>
    <w:rsid w:val="00F33FA8"/>
    <w:rsid w:val="00F34ABF"/>
    <w:rsid w:val="00F34D02"/>
    <w:rsid w:val="00F353F9"/>
    <w:rsid w:val="00F35CC0"/>
    <w:rsid w:val="00F37F60"/>
    <w:rsid w:val="00F40957"/>
    <w:rsid w:val="00F423E5"/>
    <w:rsid w:val="00F42520"/>
    <w:rsid w:val="00F4543E"/>
    <w:rsid w:val="00F45F6C"/>
    <w:rsid w:val="00F51BD6"/>
    <w:rsid w:val="00F5293A"/>
    <w:rsid w:val="00F53AD3"/>
    <w:rsid w:val="00F545E1"/>
    <w:rsid w:val="00F55500"/>
    <w:rsid w:val="00F5591E"/>
    <w:rsid w:val="00F55A7A"/>
    <w:rsid w:val="00F57FCE"/>
    <w:rsid w:val="00F60398"/>
    <w:rsid w:val="00F61E3A"/>
    <w:rsid w:val="00F63063"/>
    <w:rsid w:val="00F66870"/>
    <w:rsid w:val="00F67096"/>
    <w:rsid w:val="00F67B42"/>
    <w:rsid w:val="00F67C05"/>
    <w:rsid w:val="00F7158E"/>
    <w:rsid w:val="00F71A61"/>
    <w:rsid w:val="00F72FFF"/>
    <w:rsid w:val="00F7391C"/>
    <w:rsid w:val="00F73AFE"/>
    <w:rsid w:val="00F749D9"/>
    <w:rsid w:val="00F761A7"/>
    <w:rsid w:val="00F761D6"/>
    <w:rsid w:val="00F805DA"/>
    <w:rsid w:val="00F80765"/>
    <w:rsid w:val="00F81DA3"/>
    <w:rsid w:val="00F8331D"/>
    <w:rsid w:val="00F83613"/>
    <w:rsid w:val="00F83AD7"/>
    <w:rsid w:val="00F8453E"/>
    <w:rsid w:val="00F84705"/>
    <w:rsid w:val="00F8507C"/>
    <w:rsid w:val="00F86580"/>
    <w:rsid w:val="00F86836"/>
    <w:rsid w:val="00F90086"/>
    <w:rsid w:val="00F91275"/>
    <w:rsid w:val="00F918ED"/>
    <w:rsid w:val="00F92014"/>
    <w:rsid w:val="00F92253"/>
    <w:rsid w:val="00F9266F"/>
    <w:rsid w:val="00F93699"/>
    <w:rsid w:val="00F94406"/>
    <w:rsid w:val="00F951EB"/>
    <w:rsid w:val="00F959A5"/>
    <w:rsid w:val="00F96494"/>
    <w:rsid w:val="00F97473"/>
    <w:rsid w:val="00F979BC"/>
    <w:rsid w:val="00FA1502"/>
    <w:rsid w:val="00FA18FE"/>
    <w:rsid w:val="00FA198C"/>
    <w:rsid w:val="00FA1FB7"/>
    <w:rsid w:val="00FA22C1"/>
    <w:rsid w:val="00FA2844"/>
    <w:rsid w:val="00FA2B55"/>
    <w:rsid w:val="00FA2DB5"/>
    <w:rsid w:val="00FA3EED"/>
    <w:rsid w:val="00FA4048"/>
    <w:rsid w:val="00FA4178"/>
    <w:rsid w:val="00FA5057"/>
    <w:rsid w:val="00FA538F"/>
    <w:rsid w:val="00FA6040"/>
    <w:rsid w:val="00FA6202"/>
    <w:rsid w:val="00FA75E3"/>
    <w:rsid w:val="00FA772C"/>
    <w:rsid w:val="00FB0BDB"/>
    <w:rsid w:val="00FB1662"/>
    <w:rsid w:val="00FB201B"/>
    <w:rsid w:val="00FB26C6"/>
    <w:rsid w:val="00FB3D67"/>
    <w:rsid w:val="00FB4CDD"/>
    <w:rsid w:val="00FB5B9F"/>
    <w:rsid w:val="00FB7F2F"/>
    <w:rsid w:val="00FC0BAC"/>
    <w:rsid w:val="00FC1C5D"/>
    <w:rsid w:val="00FC3DD9"/>
    <w:rsid w:val="00FC4034"/>
    <w:rsid w:val="00FC4327"/>
    <w:rsid w:val="00FC5544"/>
    <w:rsid w:val="00FC5CAF"/>
    <w:rsid w:val="00FC62BE"/>
    <w:rsid w:val="00FC6470"/>
    <w:rsid w:val="00FD0B4E"/>
    <w:rsid w:val="00FD13BB"/>
    <w:rsid w:val="00FD321D"/>
    <w:rsid w:val="00FD3947"/>
    <w:rsid w:val="00FD4D26"/>
    <w:rsid w:val="00FD4DE1"/>
    <w:rsid w:val="00FD5588"/>
    <w:rsid w:val="00FD6086"/>
    <w:rsid w:val="00FD6196"/>
    <w:rsid w:val="00FD6806"/>
    <w:rsid w:val="00FD7336"/>
    <w:rsid w:val="00FE02FF"/>
    <w:rsid w:val="00FE0C41"/>
    <w:rsid w:val="00FE180D"/>
    <w:rsid w:val="00FE1899"/>
    <w:rsid w:val="00FE251E"/>
    <w:rsid w:val="00FE2A02"/>
    <w:rsid w:val="00FE36A6"/>
    <w:rsid w:val="00FE46A8"/>
    <w:rsid w:val="00FE4A36"/>
    <w:rsid w:val="00FE61DD"/>
    <w:rsid w:val="00FE630D"/>
    <w:rsid w:val="00FE71CE"/>
    <w:rsid w:val="00FE751C"/>
    <w:rsid w:val="00FE7DA0"/>
    <w:rsid w:val="00FF005B"/>
    <w:rsid w:val="00FF09EE"/>
    <w:rsid w:val="00FF1D3D"/>
    <w:rsid w:val="00FF22C1"/>
    <w:rsid w:val="00FF2957"/>
    <w:rsid w:val="00FF41DB"/>
    <w:rsid w:val="00FF4205"/>
    <w:rsid w:val="00FF46E1"/>
    <w:rsid w:val="00FF4FF1"/>
    <w:rsid w:val="00FF5382"/>
    <w:rsid w:val="00FF5CD0"/>
    <w:rsid w:val="00FF6D0B"/>
    <w:rsid w:val="00FF7613"/>
    <w:rsid w:val="00FF7A04"/>
    <w:rsid w:val="010E72CB"/>
    <w:rsid w:val="011A6C16"/>
    <w:rsid w:val="012958F6"/>
    <w:rsid w:val="01310760"/>
    <w:rsid w:val="013B1094"/>
    <w:rsid w:val="01412F9D"/>
    <w:rsid w:val="01465165"/>
    <w:rsid w:val="014F22B3"/>
    <w:rsid w:val="01541FBE"/>
    <w:rsid w:val="015654C1"/>
    <w:rsid w:val="01582BC2"/>
    <w:rsid w:val="015B73CA"/>
    <w:rsid w:val="01781801"/>
    <w:rsid w:val="01C600CB"/>
    <w:rsid w:val="01CD6BB4"/>
    <w:rsid w:val="01D45D8F"/>
    <w:rsid w:val="01D659D0"/>
    <w:rsid w:val="01DA571A"/>
    <w:rsid w:val="01EB7BB3"/>
    <w:rsid w:val="01ED7E75"/>
    <w:rsid w:val="01F2533F"/>
    <w:rsid w:val="01FE6BD3"/>
    <w:rsid w:val="01FF44EA"/>
    <w:rsid w:val="020B7D75"/>
    <w:rsid w:val="02736B92"/>
    <w:rsid w:val="0279651D"/>
    <w:rsid w:val="027E29A5"/>
    <w:rsid w:val="028B1CBA"/>
    <w:rsid w:val="029638CF"/>
    <w:rsid w:val="029C1F55"/>
    <w:rsid w:val="02B4470B"/>
    <w:rsid w:val="02BC02E4"/>
    <w:rsid w:val="02DD6241"/>
    <w:rsid w:val="02E92054"/>
    <w:rsid w:val="02EC31EC"/>
    <w:rsid w:val="02ED0A5A"/>
    <w:rsid w:val="030041B7"/>
    <w:rsid w:val="031E1229"/>
    <w:rsid w:val="03223160"/>
    <w:rsid w:val="03254437"/>
    <w:rsid w:val="032D3A42"/>
    <w:rsid w:val="033026A0"/>
    <w:rsid w:val="03564C06"/>
    <w:rsid w:val="035B108E"/>
    <w:rsid w:val="036B4BAC"/>
    <w:rsid w:val="03840B2B"/>
    <w:rsid w:val="03855756"/>
    <w:rsid w:val="038F6065"/>
    <w:rsid w:val="03934A6B"/>
    <w:rsid w:val="03C4436A"/>
    <w:rsid w:val="03D17DD3"/>
    <w:rsid w:val="03D8775E"/>
    <w:rsid w:val="03FF761E"/>
    <w:rsid w:val="04174CC4"/>
    <w:rsid w:val="041A4A25"/>
    <w:rsid w:val="041B14CC"/>
    <w:rsid w:val="043B6375"/>
    <w:rsid w:val="043C7483"/>
    <w:rsid w:val="044C1C9B"/>
    <w:rsid w:val="04641540"/>
    <w:rsid w:val="04793A64"/>
    <w:rsid w:val="047D2C92"/>
    <w:rsid w:val="048F5C08"/>
    <w:rsid w:val="04A14C29"/>
    <w:rsid w:val="04D02F19"/>
    <w:rsid w:val="050104C5"/>
    <w:rsid w:val="050C39A8"/>
    <w:rsid w:val="051B106F"/>
    <w:rsid w:val="05284B01"/>
    <w:rsid w:val="055943D7"/>
    <w:rsid w:val="05696BF0"/>
    <w:rsid w:val="056D77F4"/>
    <w:rsid w:val="058E7EE7"/>
    <w:rsid w:val="058F102E"/>
    <w:rsid w:val="05965135"/>
    <w:rsid w:val="05A07DFD"/>
    <w:rsid w:val="05D4049D"/>
    <w:rsid w:val="05DF682E"/>
    <w:rsid w:val="05E774BE"/>
    <w:rsid w:val="05F0234C"/>
    <w:rsid w:val="05F652DD"/>
    <w:rsid w:val="06431DD6"/>
    <w:rsid w:val="064829DB"/>
    <w:rsid w:val="06A046EE"/>
    <w:rsid w:val="06A74079"/>
    <w:rsid w:val="06C226A4"/>
    <w:rsid w:val="06C70D2A"/>
    <w:rsid w:val="06D67B90"/>
    <w:rsid w:val="06E95DE7"/>
    <w:rsid w:val="06FE2509"/>
    <w:rsid w:val="07020F0F"/>
    <w:rsid w:val="07082E19"/>
    <w:rsid w:val="07123728"/>
    <w:rsid w:val="07231444"/>
    <w:rsid w:val="072623C9"/>
    <w:rsid w:val="07565116"/>
    <w:rsid w:val="077A4051"/>
    <w:rsid w:val="07824CE1"/>
    <w:rsid w:val="07911A78"/>
    <w:rsid w:val="079216F8"/>
    <w:rsid w:val="079528D4"/>
    <w:rsid w:val="07983601"/>
    <w:rsid w:val="079F680F"/>
    <w:rsid w:val="07A04291"/>
    <w:rsid w:val="07CD605A"/>
    <w:rsid w:val="07D065E6"/>
    <w:rsid w:val="07D06FDE"/>
    <w:rsid w:val="07E51502"/>
    <w:rsid w:val="07F76E9E"/>
    <w:rsid w:val="07FE6829"/>
    <w:rsid w:val="080A7EB1"/>
    <w:rsid w:val="080F2346"/>
    <w:rsid w:val="082D517A"/>
    <w:rsid w:val="08456F9D"/>
    <w:rsid w:val="086E58DD"/>
    <w:rsid w:val="08AA7259"/>
    <w:rsid w:val="08B17951"/>
    <w:rsid w:val="08C0216A"/>
    <w:rsid w:val="08F316BF"/>
    <w:rsid w:val="09074ADD"/>
    <w:rsid w:val="09277590"/>
    <w:rsid w:val="09336C26"/>
    <w:rsid w:val="093830AD"/>
    <w:rsid w:val="09573962"/>
    <w:rsid w:val="095D32ED"/>
    <w:rsid w:val="09604272"/>
    <w:rsid w:val="0968167E"/>
    <w:rsid w:val="097F383C"/>
    <w:rsid w:val="09861D3A"/>
    <w:rsid w:val="098E0239"/>
    <w:rsid w:val="09906355"/>
    <w:rsid w:val="09B6397C"/>
    <w:rsid w:val="09CF2327"/>
    <w:rsid w:val="09E85450"/>
    <w:rsid w:val="09EE1557"/>
    <w:rsid w:val="0A3C70D8"/>
    <w:rsid w:val="0A3E7776"/>
    <w:rsid w:val="0A4E0677"/>
    <w:rsid w:val="0A53127C"/>
    <w:rsid w:val="0A9D3C79"/>
    <w:rsid w:val="0A9E16FB"/>
    <w:rsid w:val="0AA34EEB"/>
    <w:rsid w:val="0AB01615"/>
    <w:rsid w:val="0AC018B0"/>
    <w:rsid w:val="0AE16866"/>
    <w:rsid w:val="0AF33383"/>
    <w:rsid w:val="0B077527"/>
    <w:rsid w:val="0B1675E2"/>
    <w:rsid w:val="0B1722BE"/>
    <w:rsid w:val="0B2A34DD"/>
    <w:rsid w:val="0B2B6D75"/>
    <w:rsid w:val="0B3C4A7C"/>
    <w:rsid w:val="0B3D1979"/>
    <w:rsid w:val="0B765B5B"/>
    <w:rsid w:val="0B7C5866"/>
    <w:rsid w:val="0B7E0D69"/>
    <w:rsid w:val="0B85499B"/>
    <w:rsid w:val="0B883877"/>
    <w:rsid w:val="0B892750"/>
    <w:rsid w:val="0B9E0C00"/>
    <w:rsid w:val="0BA50C29"/>
    <w:rsid w:val="0BB96EC3"/>
    <w:rsid w:val="0BBA0BCE"/>
    <w:rsid w:val="0BCC0AE8"/>
    <w:rsid w:val="0BD41778"/>
    <w:rsid w:val="0BF84E2F"/>
    <w:rsid w:val="0BFD70B9"/>
    <w:rsid w:val="0C0A7D34"/>
    <w:rsid w:val="0C2065D3"/>
    <w:rsid w:val="0C354C94"/>
    <w:rsid w:val="0C38149C"/>
    <w:rsid w:val="0C457160"/>
    <w:rsid w:val="0C781676"/>
    <w:rsid w:val="0C835809"/>
    <w:rsid w:val="0C855D18"/>
    <w:rsid w:val="0C8B0141"/>
    <w:rsid w:val="0CAC53D9"/>
    <w:rsid w:val="0CB9526E"/>
    <w:rsid w:val="0CCA2F89"/>
    <w:rsid w:val="0CD40BBF"/>
    <w:rsid w:val="0CD45858"/>
    <w:rsid w:val="0CD56D9C"/>
    <w:rsid w:val="0CDA3224"/>
    <w:rsid w:val="0CF166CC"/>
    <w:rsid w:val="0CF43DCE"/>
    <w:rsid w:val="0D200115"/>
    <w:rsid w:val="0D2D522C"/>
    <w:rsid w:val="0D3A667A"/>
    <w:rsid w:val="0D4373D0"/>
    <w:rsid w:val="0D561F9B"/>
    <w:rsid w:val="0D5B02FA"/>
    <w:rsid w:val="0D732DC0"/>
    <w:rsid w:val="0DB40989"/>
    <w:rsid w:val="0DB8738F"/>
    <w:rsid w:val="0DF228C9"/>
    <w:rsid w:val="0DFA6C02"/>
    <w:rsid w:val="0E0B2945"/>
    <w:rsid w:val="0E144A06"/>
    <w:rsid w:val="0E1D7BE7"/>
    <w:rsid w:val="0E2941CB"/>
    <w:rsid w:val="0E413A70"/>
    <w:rsid w:val="0E4A68FE"/>
    <w:rsid w:val="0E642D2B"/>
    <w:rsid w:val="0E6507AC"/>
    <w:rsid w:val="0E8C646E"/>
    <w:rsid w:val="0E9C2E85"/>
    <w:rsid w:val="0EA8251A"/>
    <w:rsid w:val="0EBB7F73"/>
    <w:rsid w:val="0ED30DE0"/>
    <w:rsid w:val="0ED61D65"/>
    <w:rsid w:val="0EDD16F0"/>
    <w:rsid w:val="0F370B05"/>
    <w:rsid w:val="0F6273CA"/>
    <w:rsid w:val="0F655254"/>
    <w:rsid w:val="0F737665"/>
    <w:rsid w:val="0F891808"/>
    <w:rsid w:val="0F8E2748"/>
    <w:rsid w:val="0F8F6F95"/>
    <w:rsid w:val="0F912498"/>
    <w:rsid w:val="0F9B0829"/>
    <w:rsid w:val="0FA820BD"/>
    <w:rsid w:val="0FAD6545"/>
    <w:rsid w:val="0FC4616A"/>
    <w:rsid w:val="0FCE5F07"/>
    <w:rsid w:val="0FD57709"/>
    <w:rsid w:val="0FD9288C"/>
    <w:rsid w:val="0FDA3B91"/>
    <w:rsid w:val="0FDC3811"/>
    <w:rsid w:val="10013A51"/>
    <w:rsid w:val="10300D1D"/>
    <w:rsid w:val="10491C47"/>
    <w:rsid w:val="104D064D"/>
    <w:rsid w:val="10514AD4"/>
    <w:rsid w:val="10545C59"/>
    <w:rsid w:val="108B0131"/>
    <w:rsid w:val="108C59F3"/>
    <w:rsid w:val="108D6EB8"/>
    <w:rsid w:val="10985249"/>
    <w:rsid w:val="10A92F65"/>
    <w:rsid w:val="10AC0666"/>
    <w:rsid w:val="10BF7A6B"/>
    <w:rsid w:val="10C57012"/>
    <w:rsid w:val="10D572AC"/>
    <w:rsid w:val="10DA3E2B"/>
    <w:rsid w:val="10E0563D"/>
    <w:rsid w:val="10EE23D4"/>
    <w:rsid w:val="110A4283"/>
    <w:rsid w:val="110D2C89"/>
    <w:rsid w:val="11134B92"/>
    <w:rsid w:val="112315AA"/>
    <w:rsid w:val="1133735C"/>
    <w:rsid w:val="113B1B63"/>
    <w:rsid w:val="11433163"/>
    <w:rsid w:val="1163049F"/>
    <w:rsid w:val="116A55A1"/>
    <w:rsid w:val="11822C48"/>
    <w:rsid w:val="11930964"/>
    <w:rsid w:val="119618E8"/>
    <w:rsid w:val="11AD6755"/>
    <w:rsid w:val="11BD069A"/>
    <w:rsid w:val="11BE42F0"/>
    <w:rsid w:val="11C314B3"/>
    <w:rsid w:val="11C5052E"/>
    <w:rsid w:val="11FB708E"/>
    <w:rsid w:val="12010F98"/>
    <w:rsid w:val="12027D8E"/>
    <w:rsid w:val="12111232"/>
    <w:rsid w:val="121F0548"/>
    <w:rsid w:val="122E65E4"/>
    <w:rsid w:val="12355F6F"/>
    <w:rsid w:val="12394975"/>
    <w:rsid w:val="1274141C"/>
    <w:rsid w:val="127B0C62"/>
    <w:rsid w:val="12924111"/>
    <w:rsid w:val="12A2529E"/>
    <w:rsid w:val="12B1669B"/>
    <w:rsid w:val="12BB03C6"/>
    <w:rsid w:val="12E976B3"/>
    <w:rsid w:val="12F066A2"/>
    <w:rsid w:val="131C7166"/>
    <w:rsid w:val="131D5869"/>
    <w:rsid w:val="131E5EEC"/>
    <w:rsid w:val="13281881"/>
    <w:rsid w:val="133B1F01"/>
    <w:rsid w:val="1346162F"/>
    <w:rsid w:val="1351449B"/>
    <w:rsid w:val="13872098"/>
    <w:rsid w:val="13904F26"/>
    <w:rsid w:val="13B860EB"/>
    <w:rsid w:val="13BA66C9"/>
    <w:rsid w:val="13C4667A"/>
    <w:rsid w:val="13C540FC"/>
    <w:rsid w:val="13D476D3"/>
    <w:rsid w:val="13D75A20"/>
    <w:rsid w:val="13DF78FB"/>
    <w:rsid w:val="13E464AC"/>
    <w:rsid w:val="13E52432"/>
    <w:rsid w:val="13E77B33"/>
    <w:rsid w:val="13E855B5"/>
    <w:rsid w:val="13FC2057"/>
    <w:rsid w:val="141D2158"/>
    <w:rsid w:val="14453750"/>
    <w:rsid w:val="14677252"/>
    <w:rsid w:val="14794EA4"/>
    <w:rsid w:val="1480482F"/>
    <w:rsid w:val="149B66DD"/>
    <w:rsid w:val="149F50E4"/>
    <w:rsid w:val="14A26068"/>
    <w:rsid w:val="14AD1E7B"/>
    <w:rsid w:val="14B14FFE"/>
    <w:rsid w:val="14BD6892"/>
    <w:rsid w:val="14C95F28"/>
    <w:rsid w:val="14CA3B68"/>
    <w:rsid w:val="14CB142B"/>
    <w:rsid w:val="14D20DB6"/>
    <w:rsid w:val="14DC5F3A"/>
    <w:rsid w:val="15000600"/>
    <w:rsid w:val="151F0EB5"/>
    <w:rsid w:val="15406E6B"/>
    <w:rsid w:val="157463C1"/>
    <w:rsid w:val="1584665B"/>
    <w:rsid w:val="15A663DB"/>
    <w:rsid w:val="15AE3F95"/>
    <w:rsid w:val="15B06226"/>
    <w:rsid w:val="15B113E9"/>
    <w:rsid w:val="15C128BC"/>
    <w:rsid w:val="15D93617"/>
    <w:rsid w:val="15F63117"/>
    <w:rsid w:val="1606592F"/>
    <w:rsid w:val="160B7FC6"/>
    <w:rsid w:val="16117544"/>
    <w:rsid w:val="161226C3"/>
    <w:rsid w:val="16213F5B"/>
    <w:rsid w:val="1634517A"/>
    <w:rsid w:val="16427D13"/>
    <w:rsid w:val="16521C58"/>
    <w:rsid w:val="167F55F9"/>
    <w:rsid w:val="168E6B0D"/>
    <w:rsid w:val="16917AAF"/>
    <w:rsid w:val="169B5E23"/>
    <w:rsid w:val="16A34C65"/>
    <w:rsid w:val="16B17C2B"/>
    <w:rsid w:val="16B36D4D"/>
    <w:rsid w:val="16C005E1"/>
    <w:rsid w:val="16CF2DFA"/>
    <w:rsid w:val="16EB47C3"/>
    <w:rsid w:val="16EE36AF"/>
    <w:rsid w:val="17191F74"/>
    <w:rsid w:val="171C7676"/>
    <w:rsid w:val="172E30D6"/>
    <w:rsid w:val="174817BF"/>
    <w:rsid w:val="175C3CE3"/>
    <w:rsid w:val="176645F2"/>
    <w:rsid w:val="17685577"/>
    <w:rsid w:val="176E7480"/>
    <w:rsid w:val="17745B06"/>
    <w:rsid w:val="178D4507"/>
    <w:rsid w:val="17A20BD4"/>
    <w:rsid w:val="17AE7407"/>
    <w:rsid w:val="17BC1692"/>
    <w:rsid w:val="17C90A93"/>
    <w:rsid w:val="17D93AD0"/>
    <w:rsid w:val="17E3743F"/>
    <w:rsid w:val="17EF5450"/>
    <w:rsid w:val="180918EA"/>
    <w:rsid w:val="18101208"/>
    <w:rsid w:val="18296891"/>
    <w:rsid w:val="1844637C"/>
    <w:rsid w:val="18531C31"/>
    <w:rsid w:val="187334AB"/>
    <w:rsid w:val="187B5B4E"/>
    <w:rsid w:val="187B7E77"/>
    <w:rsid w:val="187F2F72"/>
    <w:rsid w:val="188D78D8"/>
    <w:rsid w:val="18A43C7A"/>
    <w:rsid w:val="18AE7E0C"/>
    <w:rsid w:val="18F31102"/>
    <w:rsid w:val="191D00C0"/>
    <w:rsid w:val="19231FC9"/>
    <w:rsid w:val="194E65AF"/>
    <w:rsid w:val="19512E99"/>
    <w:rsid w:val="197255CC"/>
    <w:rsid w:val="197F6E60"/>
    <w:rsid w:val="19A52923"/>
    <w:rsid w:val="19A625A3"/>
    <w:rsid w:val="19A85AA6"/>
    <w:rsid w:val="19BB1243"/>
    <w:rsid w:val="19BE5A4B"/>
    <w:rsid w:val="19C95FDB"/>
    <w:rsid w:val="19CB14DE"/>
    <w:rsid w:val="19E85593"/>
    <w:rsid w:val="1A1E34E6"/>
    <w:rsid w:val="1A281877"/>
    <w:rsid w:val="1A306C84"/>
    <w:rsid w:val="1A5A58C9"/>
    <w:rsid w:val="1A6A4C5B"/>
    <w:rsid w:val="1A700E8A"/>
    <w:rsid w:val="1A7F2286"/>
    <w:rsid w:val="1A880997"/>
    <w:rsid w:val="1A90371A"/>
    <w:rsid w:val="1A9234A5"/>
    <w:rsid w:val="1A9C7638"/>
    <w:rsid w:val="1AA524C6"/>
    <w:rsid w:val="1AAF0857"/>
    <w:rsid w:val="1ABB4669"/>
    <w:rsid w:val="1ACA3608"/>
    <w:rsid w:val="1AD500E1"/>
    <w:rsid w:val="1AE81CB5"/>
    <w:rsid w:val="1AF365CF"/>
    <w:rsid w:val="1AFA38AA"/>
    <w:rsid w:val="1B184A03"/>
    <w:rsid w:val="1B1A4683"/>
    <w:rsid w:val="1B6D1F0E"/>
    <w:rsid w:val="1B7B3422"/>
    <w:rsid w:val="1BAF73E3"/>
    <w:rsid w:val="1BB73608"/>
    <w:rsid w:val="1BCD57AB"/>
    <w:rsid w:val="1BD937BC"/>
    <w:rsid w:val="1BFB4FF6"/>
    <w:rsid w:val="1C07688A"/>
    <w:rsid w:val="1C091D8D"/>
    <w:rsid w:val="1C1C24C7"/>
    <w:rsid w:val="1C353ED6"/>
    <w:rsid w:val="1C4C5CF9"/>
    <w:rsid w:val="1C4E6FFE"/>
    <w:rsid w:val="1C687BA8"/>
    <w:rsid w:val="1C8A6F02"/>
    <w:rsid w:val="1C8F32EB"/>
    <w:rsid w:val="1C916D82"/>
    <w:rsid w:val="1C9706F7"/>
    <w:rsid w:val="1CA13205"/>
    <w:rsid w:val="1CB11096"/>
    <w:rsid w:val="1CC26FBD"/>
    <w:rsid w:val="1CD96BE2"/>
    <w:rsid w:val="1D315072"/>
    <w:rsid w:val="1D3B5982"/>
    <w:rsid w:val="1D40788B"/>
    <w:rsid w:val="1D4F284B"/>
    <w:rsid w:val="1D787EA4"/>
    <w:rsid w:val="1DCA254F"/>
    <w:rsid w:val="1E027949"/>
    <w:rsid w:val="1E073DD1"/>
    <w:rsid w:val="1E0B27D7"/>
    <w:rsid w:val="1E1259E5"/>
    <w:rsid w:val="1E2223FC"/>
    <w:rsid w:val="1E2D620F"/>
    <w:rsid w:val="1E340076"/>
    <w:rsid w:val="1E4427E1"/>
    <w:rsid w:val="1E4516B7"/>
    <w:rsid w:val="1E505DFB"/>
    <w:rsid w:val="1E77318B"/>
    <w:rsid w:val="1E846C1E"/>
    <w:rsid w:val="1E915F33"/>
    <w:rsid w:val="1EBB325D"/>
    <w:rsid w:val="1EE066A8"/>
    <w:rsid w:val="1EEC0BCC"/>
    <w:rsid w:val="1EFF755A"/>
    <w:rsid w:val="1F543A73"/>
    <w:rsid w:val="1F5A1777"/>
    <w:rsid w:val="1F721A21"/>
    <w:rsid w:val="1F75782B"/>
    <w:rsid w:val="1F805BBC"/>
    <w:rsid w:val="1F81363D"/>
    <w:rsid w:val="1FA94880"/>
    <w:rsid w:val="1FEB08EE"/>
    <w:rsid w:val="1FEB2CED"/>
    <w:rsid w:val="1FF14BF6"/>
    <w:rsid w:val="20030393"/>
    <w:rsid w:val="201C52F5"/>
    <w:rsid w:val="2044619E"/>
    <w:rsid w:val="208479E8"/>
    <w:rsid w:val="20872F31"/>
    <w:rsid w:val="2093697E"/>
    <w:rsid w:val="20986689"/>
    <w:rsid w:val="20B15F2E"/>
    <w:rsid w:val="20E83E89"/>
    <w:rsid w:val="20FB50A8"/>
    <w:rsid w:val="210C2DC4"/>
    <w:rsid w:val="21733A6D"/>
    <w:rsid w:val="21760275"/>
    <w:rsid w:val="217C0935"/>
    <w:rsid w:val="21843D08"/>
    <w:rsid w:val="218E591C"/>
    <w:rsid w:val="219A172E"/>
    <w:rsid w:val="219E4DD4"/>
    <w:rsid w:val="21A07B25"/>
    <w:rsid w:val="21A110B9"/>
    <w:rsid w:val="21AB524C"/>
    <w:rsid w:val="21B57D5A"/>
    <w:rsid w:val="21BA41E2"/>
    <w:rsid w:val="21BD09EA"/>
    <w:rsid w:val="21CE2911"/>
    <w:rsid w:val="21CF4244"/>
    <w:rsid w:val="21D21888"/>
    <w:rsid w:val="221238FA"/>
    <w:rsid w:val="22322BA7"/>
    <w:rsid w:val="223C0977"/>
    <w:rsid w:val="22502157"/>
    <w:rsid w:val="225A62E9"/>
    <w:rsid w:val="225F7737"/>
    <w:rsid w:val="2297614E"/>
    <w:rsid w:val="229E7CD7"/>
    <w:rsid w:val="22A650E4"/>
    <w:rsid w:val="22AF6E32"/>
    <w:rsid w:val="22B03475"/>
    <w:rsid w:val="22C47F17"/>
    <w:rsid w:val="22D71136"/>
    <w:rsid w:val="22FA25EF"/>
    <w:rsid w:val="23092C0A"/>
    <w:rsid w:val="23127C96"/>
    <w:rsid w:val="2318643B"/>
    <w:rsid w:val="23302DD3"/>
    <w:rsid w:val="233518BC"/>
    <w:rsid w:val="23390004"/>
    <w:rsid w:val="233D248F"/>
    <w:rsid w:val="23567486"/>
    <w:rsid w:val="23682531"/>
    <w:rsid w:val="23985232"/>
    <w:rsid w:val="23A63D8D"/>
    <w:rsid w:val="23C04937"/>
    <w:rsid w:val="23CE0E3A"/>
    <w:rsid w:val="23D435D7"/>
    <w:rsid w:val="23D7455C"/>
    <w:rsid w:val="23E3256D"/>
    <w:rsid w:val="23E92278"/>
    <w:rsid w:val="23F6158E"/>
    <w:rsid w:val="242E16E8"/>
    <w:rsid w:val="242F7169"/>
    <w:rsid w:val="244C451B"/>
    <w:rsid w:val="245B6D34"/>
    <w:rsid w:val="24634140"/>
    <w:rsid w:val="247D47AF"/>
    <w:rsid w:val="2485605B"/>
    <w:rsid w:val="249C779D"/>
    <w:rsid w:val="24A274A8"/>
    <w:rsid w:val="24BB25D0"/>
    <w:rsid w:val="24EF75A7"/>
    <w:rsid w:val="24F43E04"/>
    <w:rsid w:val="25053949"/>
    <w:rsid w:val="25132C5F"/>
    <w:rsid w:val="251D6DF2"/>
    <w:rsid w:val="252E4B0E"/>
    <w:rsid w:val="25315A92"/>
    <w:rsid w:val="25392E9F"/>
    <w:rsid w:val="253E4DA8"/>
    <w:rsid w:val="254621B4"/>
    <w:rsid w:val="254734B9"/>
    <w:rsid w:val="25764F02"/>
    <w:rsid w:val="2585375D"/>
    <w:rsid w:val="25970CBA"/>
    <w:rsid w:val="25AF1BE4"/>
    <w:rsid w:val="25CA020F"/>
    <w:rsid w:val="25D21D98"/>
    <w:rsid w:val="25E81A23"/>
    <w:rsid w:val="25F51053"/>
    <w:rsid w:val="2604386C"/>
    <w:rsid w:val="260E79FF"/>
    <w:rsid w:val="26166672"/>
    <w:rsid w:val="262772A4"/>
    <w:rsid w:val="262B372C"/>
    <w:rsid w:val="26480ADD"/>
    <w:rsid w:val="264B1A62"/>
    <w:rsid w:val="26604034"/>
    <w:rsid w:val="268A1547"/>
    <w:rsid w:val="26E11F56"/>
    <w:rsid w:val="26EA2865"/>
    <w:rsid w:val="26F238B2"/>
    <w:rsid w:val="26F8457D"/>
    <w:rsid w:val="26FC6002"/>
    <w:rsid w:val="27015D0E"/>
    <w:rsid w:val="2703598D"/>
    <w:rsid w:val="27114CA3"/>
    <w:rsid w:val="272107C1"/>
    <w:rsid w:val="27305558"/>
    <w:rsid w:val="27667C30"/>
    <w:rsid w:val="277B2154"/>
    <w:rsid w:val="27865F67"/>
    <w:rsid w:val="279C436D"/>
    <w:rsid w:val="279E2635"/>
    <w:rsid w:val="27B841B7"/>
    <w:rsid w:val="27D51569"/>
    <w:rsid w:val="27EC118E"/>
    <w:rsid w:val="27F21951"/>
    <w:rsid w:val="27F7751F"/>
    <w:rsid w:val="27FA04A4"/>
    <w:rsid w:val="28233866"/>
    <w:rsid w:val="282647EB"/>
    <w:rsid w:val="28323E81"/>
    <w:rsid w:val="28416D74"/>
    <w:rsid w:val="2842411B"/>
    <w:rsid w:val="28727A72"/>
    <w:rsid w:val="287C7778"/>
    <w:rsid w:val="28882156"/>
    <w:rsid w:val="28C27EED"/>
    <w:rsid w:val="28C3596E"/>
    <w:rsid w:val="28D02349"/>
    <w:rsid w:val="28DD1D9B"/>
    <w:rsid w:val="28E107A2"/>
    <w:rsid w:val="291F2805"/>
    <w:rsid w:val="29215D08"/>
    <w:rsid w:val="2923120B"/>
    <w:rsid w:val="293F0B3B"/>
    <w:rsid w:val="294F0DD5"/>
    <w:rsid w:val="295C3329"/>
    <w:rsid w:val="2973228F"/>
    <w:rsid w:val="2993653A"/>
    <w:rsid w:val="299C0ED5"/>
    <w:rsid w:val="29A23FF7"/>
    <w:rsid w:val="29AA01EA"/>
    <w:rsid w:val="29D37D2A"/>
    <w:rsid w:val="29E647CC"/>
    <w:rsid w:val="2A1F7EDC"/>
    <w:rsid w:val="2A4C3C4A"/>
    <w:rsid w:val="2A583806"/>
    <w:rsid w:val="2A5E570F"/>
    <w:rsid w:val="2A621B97"/>
    <w:rsid w:val="2A7A5040"/>
    <w:rsid w:val="2A850E52"/>
    <w:rsid w:val="2A90644F"/>
    <w:rsid w:val="2A955869"/>
    <w:rsid w:val="2AA76E09"/>
    <w:rsid w:val="2AA9230C"/>
    <w:rsid w:val="2AD15A4E"/>
    <w:rsid w:val="2B01621D"/>
    <w:rsid w:val="2B1803C1"/>
    <w:rsid w:val="2B265158"/>
    <w:rsid w:val="2B3C084B"/>
    <w:rsid w:val="2B3E27FF"/>
    <w:rsid w:val="2B4A6612"/>
    <w:rsid w:val="2B552424"/>
    <w:rsid w:val="2B6739C3"/>
    <w:rsid w:val="2B821FEF"/>
    <w:rsid w:val="2B8354F2"/>
    <w:rsid w:val="2BA56D2B"/>
    <w:rsid w:val="2BAB0C35"/>
    <w:rsid w:val="2BED7120"/>
    <w:rsid w:val="2C1C43EC"/>
    <w:rsid w:val="2C31308C"/>
    <w:rsid w:val="2C3A179D"/>
    <w:rsid w:val="2C6F41F6"/>
    <w:rsid w:val="2C840FA8"/>
    <w:rsid w:val="2C952DB1"/>
    <w:rsid w:val="2CB35BE4"/>
    <w:rsid w:val="2CE451F3"/>
    <w:rsid w:val="2D0C3CF4"/>
    <w:rsid w:val="2D2337CE"/>
    <w:rsid w:val="2D5D27F9"/>
    <w:rsid w:val="2D8F684C"/>
    <w:rsid w:val="2D9F6AE6"/>
    <w:rsid w:val="2DB92F13"/>
    <w:rsid w:val="2DC10320"/>
    <w:rsid w:val="2DF56170"/>
    <w:rsid w:val="2E0C4F1C"/>
    <w:rsid w:val="2E0D6493"/>
    <w:rsid w:val="2E51438B"/>
    <w:rsid w:val="2E607580"/>
    <w:rsid w:val="2E627EA9"/>
    <w:rsid w:val="2E6A74B4"/>
    <w:rsid w:val="2E7A04EE"/>
    <w:rsid w:val="2E7A774E"/>
    <w:rsid w:val="2E874865"/>
    <w:rsid w:val="2EBE5C29"/>
    <w:rsid w:val="2ED25BDE"/>
    <w:rsid w:val="2EDD3F6F"/>
    <w:rsid w:val="2EEB0D06"/>
    <w:rsid w:val="2F0C4ABE"/>
    <w:rsid w:val="2F2E1C43"/>
    <w:rsid w:val="2F46011B"/>
    <w:rsid w:val="2FA801C0"/>
    <w:rsid w:val="2FBE6AE0"/>
    <w:rsid w:val="2FC5646B"/>
    <w:rsid w:val="2FCC1679"/>
    <w:rsid w:val="2FDE57C8"/>
    <w:rsid w:val="2FE46D20"/>
    <w:rsid w:val="2FEF2B33"/>
    <w:rsid w:val="30130062"/>
    <w:rsid w:val="30210D83"/>
    <w:rsid w:val="303809A8"/>
    <w:rsid w:val="303B5A66"/>
    <w:rsid w:val="306B0F1B"/>
    <w:rsid w:val="30756BD7"/>
    <w:rsid w:val="30A64860"/>
    <w:rsid w:val="30A91F61"/>
    <w:rsid w:val="30DE023D"/>
    <w:rsid w:val="30E569D7"/>
    <w:rsid w:val="3106021B"/>
    <w:rsid w:val="31404D96"/>
    <w:rsid w:val="31447BE1"/>
    <w:rsid w:val="3152277A"/>
    <w:rsid w:val="31611710"/>
    <w:rsid w:val="317F4625"/>
    <w:rsid w:val="31862C5E"/>
    <w:rsid w:val="318C280E"/>
    <w:rsid w:val="31961487"/>
    <w:rsid w:val="31A425F3"/>
    <w:rsid w:val="31AE7611"/>
    <w:rsid w:val="31B66C1B"/>
    <w:rsid w:val="31C04FAC"/>
    <w:rsid w:val="31CA7B8E"/>
    <w:rsid w:val="31CC4642"/>
    <w:rsid w:val="31D22CC8"/>
    <w:rsid w:val="31DB35D8"/>
    <w:rsid w:val="31DE235E"/>
    <w:rsid w:val="3201762D"/>
    <w:rsid w:val="320A66A5"/>
    <w:rsid w:val="320F2B2D"/>
    <w:rsid w:val="32207918"/>
    <w:rsid w:val="32296F5A"/>
    <w:rsid w:val="322C0B88"/>
    <w:rsid w:val="32316565"/>
    <w:rsid w:val="323C48F6"/>
    <w:rsid w:val="3252231D"/>
    <w:rsid w:val="32645ABA"/>
    <w:rsid w:val="32930B88"/>
    <w:rsid w:val="3297178C"/>
    <w:rsid w:val="32A648FA"/>
    <w:rsid w:val="32A90296"/>
    <w:rsid w:val="32CA6AE3"/>
    <w:rsid w:val="32D8387B"/>
    <w:rsid w:val="32E4768D"/>
    <w:rsid w:val="32F51B26"/>
    <w:rsid w:val="32FA3A2F"/>
    <w:rsid w:val="3300373A"/>
    <w:rsid w:val="33032140"/>
    <w:rsid w:val="330907C6"/>
    <w:rsid w:val="330B3CCA"/>
    <w:rsid w:val="330D2A50"/>
    <w:rsid w:val="330F5F53"/>
    <w:rsid w:val="33417A27"/>
    <w:rsid w:val="33564149"/>
    <w:rsid w:val="335950CE"/>
    <w:rsid w:val="336765E2"/>
    <w:rsid w:val="336B4FE8"/>
    <w:rsid w:val="338E7B26"/>
    <w:rsid w:val="33AB1655"/>
    <w:rsid w:val="33AF47D8"/>
    <w:rsid w:val="33C2127A"/>
    <w:rsid w:val="33C643FD"/>
    <w:rsid w:val="33CB0884"/>
    <w:rsid w:val="33F16546"/>
    <w:rsid w:val="33F42D4E"/>
    <w:rsid w:val="33F93952"/>
    <w:rsid w:val="340764EB"/>
    <w:rsid w:val="340F5AF6"/>
    <w:rsid w:val="34104DFC"/>
    <w:rsid w:val="3411487C"/>
    <w:rsid w:val="341A3E87"/>
    <w:rsid w:val="34276A20"/>
    <w:rsid w:val="344E0E5E"/>
    <w:rsid w:val="34542D67"/>
    <w:rsid w:val="345D5FD7"/>
    <w:rsid w:val="34672354"/>
    <w:rsid w:val="346A078E"/>
    <w:rsid w:val="3485165E"/>
    <w:rsid w:val="3496754B"/>
    <w:rsid w:val="34AB11F7"/>
    <w:rsid w:val="34C05614"/>
    <w:rsid w:val="34D90A42"/>
    <w:rsid w:val="34F54AEF"/>
    <w:rsid w:val="3525563E"/>
    <w:rsid w:val="352C709D"/>
    <w:rsid w:val="35453974"/>
    <w:rsid w:val="35594813"/>
    <w:rsid w:val="355A2295"/>
    <w:rsid w:val="357C3ACE"/>
    <w:rsid w:val="35817F56"/>
    <w:rsid w:val="35895362"/>
    <w:rsid w:val="358D75EC"/>
    <w:rsid w:val="358E506D"/>
    <w:rsid w:val="35D412B7"/>
    <w:rsid w:val="35E7317D"/>
    <w:rsid w:val="35F83418"/>
    <w:rsid w:val="36104342"/>
    <w:rsid w:val="362167DA"/>
    <w:rsid w:val="363A5186"/>
    <w:rsid w:val="36596287"/>
    <w:rsid w:val="36817AF9"/>
    <w:rsid w:val="3683687F"/>
    <w:rsid w:val="368D0E6A"/>
    <w:rsid w:val="36A46DB4"/>
    <w:rsid w:val="36A54835"/>
    <w:rsid w:val="36C26364"/>
    <w:rsid w:val="36C91572"/>
    <w:rsid w:val="36CB7593"/>
    <w:rsid w:val="36D1279C"/>
    <w:rsid w:val="36D1697E"/>
    <w:rsid w:val="37134E69"/>
    <w:rsid w:val="3727287B"/>
    <w:rsid w:val="374530BA"/>
    <w:rsid w:val="37694773"/>
    <w:rsid w:val="3776710C"/>
    <w:rsid w:val="37992B44"/>
    <w:rsid w:val="379F7810"/>
    <w:rsid w:val="37B36F71"/>
    <w:rsid w:val="37B77B75"/>
    <w:rsid w:val="37C60190"/>
    <w:rsid w:val="37CE779B"/>
    <w:rsid w:val="37CF301E"/>
    <w:rsid w:val="37F00FD4"/>
    <w:rsid w:val="37F863E1"/>
    <w:rsid w:val="383A485D"/>
    <w:rsid w:val="383D3652"/>
    <w:rsid w:val="386B2E9C"/>
    <w:rsid w:val="38712827"/>
    <w:rsid w:val="388C6C54"/>
    <w:rsid w:val="38907859"/>
    <w:rsid w:val="389D10ED"/>
    <w:rsid w:val="38A67E03"/>
    <w:rsid w:val="38D428CC"/>
    <w:rsid w:val="38DE31DB"/>
    <w:rsid w:val="38E54D64"/>
    <w:rsid w:val="38E97DEC"/>
    <w:rsid w:val="391D0741"/>
    <w:rsid w:val="39201387"/>
    <w:rsid w:val="392515F3"/>
    <w:rsid w:val="393670ED"/>
    <w:rsid w:val="394079FC"/>
    <w:rsid w:val="39495F88"/>
    <w:rsid w:val="3955089B"/>
    <w:rsid w:val="395A27A5"/>
    <w:rsid w:val="395B0226"/>
    <w:rsid w:val="396778BC"/>
    <w:rsid w:val="3970465E"/>
    <w:rsid w:val="39A62C24"/>
    <w:rsid w:val="39AC4B2D"/>
    <w:rsid w:val="39B10FB5"/>
    <w:rsid w:val="39B97FA1"/>
    <w:rsid w:val="39BB7346"/>
    <w:rsid w:val="39BD13E7"/>
    <w:rsid w:val="39BF5D4C"/>
    <w:rsid w:val="39C967C2"/>
    <w:rsid w:val="39D968F6"/>
    <w:rsid w:val="39DE2D7E"/>
    <w:rsid w:val="39E5018A"/>
    <w:rsid w:val="39F01D9F"/>
    <w:rsid w:val="39FA48AC"/>
    <w:rsid w:val="3A2133F1"/>
    <w:rsid w:val="3A2E44B4"/>
    <w:rsid w:val="3A3D2D97"/>
    <w:rsid w:val="3A3E409C"/>
    <w:rsid w:val="3A401E2F"/>
    <w:rsid w:val="3A4A5930"/>
    <w:rsid w:val="3A5D4951"/>
    <w:rsid w:val="3A5E23D3"/>
    <w:rsid w:val="3A7022ED"/>
    <w:rsid w:val="3A751FF8"/>
    <w:rsid w:val="3A756774"/>
    <w:rsid w:val="3A7A2BFC"/>
    <w:rsid w:val="3AA03185"/>
    <w:rsid w:val="3AA23DC1"/>
    <w:rsid w:val="3ABC496A"/>
    <w:rsid w:val="3AD818A5"/>
    <w:rsid w:val="3B0C21B1"/>
    <w:rsid w:val="3B425EC8"/>
    <w:rsid w:val="3B7905A1"/>
    <w:rsid w:val="3BB02C79"/>
    <w:rsid w:val="3BBC230F"/>
    <w:rsid w:val="3BEB75DB"/>
    <w:rsid w:val="3BFB0FDE"/>
    <w:rsid w:val="3C076F0B"/>
    <w:rsid w:val="3C1E0D2E"/>
    <w:rsid w:val="3C217AB5"/>
    <w:rsid w:val="3C512802"/>
    <w:rsid w:val="3C56250D"/>
    <w:rsid w:val="3C6472A5"/>
    <w:rsid w:val="3C7F204D"/>
    <w:rsid w:val="3C815550"/>
    <w:rsid w:val="3C91460F"/>
    <w:rsid w:val="3C9568F7"/>
    <w:rsid w:val="3CAC7699"/>
    <w:rsid w:val="3CCB7F4E"/>
    <w:rsid w:val="3CD043D5"/>
    <w:rsid w:val="3CD45A7E"/>
    <w:rsid w:val="3D0D09B7"/>
    <w:rsid w:val="3D2F21F1"/>
    <w:rsid w:val="3D2F4335"/>
    <w:rsid w:val="3D454394"/>
    <w:rsid w:val="3D674549"/>
    <w:rsid w:val="3D6C4254"/>
    <w:rsid w:val="3D733BDF"/>
    <w:rsid w:val="3D764B63"/>
    <w:rsid w:val="3D8C258A"/>
    <w:rsid w:val="3D9F12DD"/>
    <w:rsid w:val="3DB868D1"/>
    <w:rsid w:val="3DB94353"/>
    <w:rsid w:val="3DBB3FD3"/>
    <w:rsid w:val="3DC508F1"/>
    <w:rsid w:val="3DD4297E"/>
    <w:rsid w:val="3DE5087F"/>
    <w:rsid w:val="3DFE10A0"/>
    <w:rsid w:val="3E1650AD"/>
    <w:rsid w:val="3E1E15C2"/>
    <w:rsid w:val="3E1E1AF9"/>
    <w:rsid w:val="3E201779"/>
    <w:rsid w:val="3E243A02"/>
    <w:rsid w:val="3E266F05"/>
    <w:rsid w:val="3E274987"/>
    <w:rsid w:val="3E2B338D"/>
    <w:rsid w:val="3E48719D"/>
    <w:rsid w:val="3E530CCE"/>
    <w:rsid w:val="3E557A55"/>
    <w:rsid w:val="3E5C04C3"/>
    <w:rsid w:val="3E744A86"/>
    <w:rsid w:val="3E962A3C"/>
    <w:rsid w:val="3EA477D4"/>
    <w:rsid w:val="3EBD28FC"/>
    <w:rsid w:val="3EC6100D"/>
    <w:rsid w:val="3ECE3EE2"/>
    <w:rsid w:val="3EE00F3F"/>
    <w:rsid w:val="3EFA2761"/>
    <w:rsid w:val="3F0874F8"/>
    <w:rsid w:val="3F093E1D"/>
    <w:rsid w:val="3F0B1F32"/>
    <w:rsid w:val="3F0E1401"/>
    <w:rsid w:val="3F135889"/>
    <w:rsid w:val="3F142B0B"/>
    <w:rsid w:val="3F1F711D"/>
    <w:rsid w:val="3F2435A5"/>
    <w:rsid w:val="3F293FCB"/>
    <w:rsid w:val="3F2D6029"/>
    <w:rsid w:val="3F3423E3"/>
    <w:rsid w:val="3F3E414F"/>
    <w:rsid w:val="3F572169"/>
    <w:rsid w:val="3F6B3D19"/>
    <w:rsid w:val="3F8810CB"/>
    <w:rsid w:val="3FA81600"/>
    <w:rsid w:val="3FB9189A"/>
    <w:rsid w:val="3FBD249F"/>
    <w:rsid w:val="3FDA11C9"/>
    <w:rsid w:val="3FE1257F"/>
    <w:rsid w:val="3FE171DB"/>
    <w:rsid w:val="3FED2FEE"/>
    <w:rsid w:val="40111F29"/>
    <w:rsid w:val="401C3B3D"/>
    <w:rsid w:val="403411E4"/>
    <w:rsid w:val="40360E64"/>
    <w:rsid w:val="405B10A3"/>
    <w:rsid w:val="406E5D1C"/>
    <w:rsid w:val="40854466"/>
    <w:rsid w:val="40861EE7"/>
    <w:rsid w:val="409311FD"/>
    <w:rsid w:val="40C04B7A"/>
    <w:rsid w:val="40D50D6D"/>
    <w:rsid w:val="40DE3BFB"/>
    <w:rsid w:val="40E86709"/>
    <w:rsid w:val="40ED6414"/>
    <w:rsid w:val="40ED6842"/>
    <w:rsid w:val="40F464D7"/>
    <w:rsid w:val="40F869A3"/>
    <w:rsid w:val="40FB7928"/>
    <w:rsid w:val="41446E23"/>
    <w:rsid w:val="41685D5D"/>
    <w:rsid w:val="417171B0"/>
    <w:rsid w:val="418105AD"/>
    <w:rsid w:val="41932425"/>
    <w:rsid w:val="41A326BF"/>
    <w:rsid w:val="41AE0A50"/>
    <w:rsid w:val="41B13BD3"/>
    <w:rsid w:val="41B90FE0"/>
    <w:rsid w:val="41BF676C"/>
    <w:rsid w:val="41D04488"/>
    <w:rsid w:val="41D2798B"/>
    <w:rsid w:val="41EA08B5"/>
    <w:rsid w:val="41FC65D1"/>
    <w:rsid w:val="420D42ED"/>
    <w:rsid w:val="4218267E"/>
    <w:rsid w:val="42251994"/>
    <w:rsid w:val="42325426"/>
    <w:rsid w:val="423D2E16"/>
    <w:rsid w:val="424F27D8"/>
    <w:rsid w:val="42644CFC"/>
    <w:rsid w:val="426A0E03"/>
    <w:rsid w:val="427D5AA8"/>
    <w:rsid w:val="42931FC8"/>
    <w:rsid w:val="42B11578"/>
    <w:rsid w:val="42B31885"/>
    <w:rsid w:val="42B34A7B"/>
    <w:rsid w:val="42B86984"/>
    <w:rsid w:val="42CA7F23"/>
    <w:rsid w:val="42D37545"/>
    <w:rsid w:val="42D9083C"/>
    <w:rsid w:val="42DC7E3D"/>
    <w:rsid w:val="42F97917"/>
    <w:rsid w:val="43023801"/>
    <w:rsid w:val="432860FF"/>
    <w:rsid w:val="43577787"/>
    <w:rsid w:val="435E5C94"/>
    <w:rsid w:val="43690D26"/>
    <w:rsid w:val="436E2C30"/>
    <w:rsid w:val="4376003C"/>
    <w:rsid w:val="437A6A42"/>
    <w:rsid w:val="437C555D"/>
    <w:rsid w:val="43AC4C93"/>
    <w:rsid w:val="43AF149B"/>
    <w:rsid w:val="43B06F1C"/>
    <w:rsid w:val="43BD29AF"/>
    <w:rsid w:val="43DC3263"/>
    <w:rsid w:val="43EF4482"/>
    <w:rsid w:val="440356A1"/>
    <w:rsid w:val="440D3A32"/>
    <w:rsid w:val="44314EEC"/>
    <w:rsid w:val="443416F4"/>
    <w:rsid w:val="44345E70"/>
    <w:rsid w:val="44440F49"/>
    <w:rsid w:val="446D2B52"/>
    <w:rsid w:val="4475215D"/>
    <w:rsid w:val="447E086E"/>
    <w:rsid w:val="448117F3"/>
    <w:rsid w:val="448736FC"/>
    <w:rsid w:val="44923C8C"/>
    <w:rsid w:val="449B6B1A"/>
    <w:rsid w:val="44A142A6"/>
    <w:rsid w:val="44AA4BB6"/>
    <w:rsid w:val="44B049E0"/>
    <w:rsid w:val="44CE6739"/>
    <w:rsid w:val="44DF1B8D"/>
    <w:rsid w:val="44F25BD7"/>
    <w:rsid w:val="44F53D30"/>
    <w:rsid w:val="44FA23B6"/>
    <w:rsid w:val="44FB7E38"/>
    <w:rsid w:val="452A0987"/>
    <w:rsid w:val="452F2C10"/>
    <w:rsid w:val="4535259B"/>
    <w:rsid w:val="4540092C"/>
    <w:rsid w:val="454D43BF"/>
    <w:rsid w:val="45582750"/>
    <w:rsid w:val="45651A65"/>
    <w:rsid w:val="45727FD9"/>
    <w:rsid w:val="457A3F89"/>
    <w:rsid w:val="45B06662"/>
    <w:rsid w:val="45B32E6A"/>
    <w:rsid w:val="45B45068"/>
    <w:rsid w:val="45BD44C8"/>
    <w:rsid w:val="45C24622"/>
    <w:rsid w:val="45DE3CAE"/>
    <w:rsid w:val="45F57156"/>
    <w:rsid w:val="460D74FE"/>
    <w:rsid w:val="46132E83"/>
    <w:rsid w:val="46153E08"/>
    <w:rsid w:val="461D7A22"/>
    <w:rsid w:val="464D55A1"/>
    <w:rsid w:val="4666070F"/>
    <w:rsid w:val="46736CE3"/>
    <w:rsid w:val="467960AA"/>
    <w:rsid w:val="4682613E"/>
    <w:rsid w:val="46924A56"/>
    <w:rsid w:val="46A1726F"/>
    <w:rsid w:val="46AB7B7E"/>
    <w:rsid w:val="46B655A1"/>
    <w:rsid w:val="46C42CA7"/>
    <w:rsid w:val="46EF69C3"/>
    <w:rsid w:val="46F06FEE"/>
    <w:rsid w:val="46F337F6"/>
    <w:rsid w:val="47426DF8"/>
    <w:rsid w:val="47537093"/>
    <w:rsid w:val="475A0C1C"/>
    <w:rsid w:val="475B7F46"/>
    <w:rsid w:val="47690CE9"/>
    <w:rsid w:val="476D54E2"/>
    <w:rsid w:val="476D7C3C"/>
    <w:rsid w:val="47721B46"/>
    <w:rsid w:val="479B7487"/>
    <w:rsid w:val="47B425AF"/>
    <w:rsid w:val="47B506A4"/>
    <w:rsid w:val="47CC7828"/>
    <w:rsid w:val="47E40B80"/>
    <w:rsid w:val="47E71B04"/>
    <w:rsid w:val="47F40E1A"/>
    <w:rsid w:val="47FD4F76"/>
    <w:rsid w:val="4838060A"/>
    <w:rsid w:val="48472E23"/>
    <w:rsid w:val="487813F3"/>
    <w:rsid w:val="488D5E59"/>
    <w:rsid w:val="48912F9B"/>
    <w:rsid w:val="48B7695A"/>
    <w:rsid w:val="48D05305"/>
    <w:rsid w:val="48DE6819"/>
    <w:rsid w:val="48F30D3D"/>
    <w:rsid w:val="49233A8B"/>
    <w:rsid w:val="49264A0F"/>
    <w:rsid w:val="493140A5"/>
    <w:rsid w:val="493C2436"/>
    <w:rsid w:val="49593F65"/>
    <w:rsid w:val="49765A93"/>
    <w:rsid w:val="49796A18"/>
    <w:rsid w:val="498176A7"/>
    <w:rsid w:val="49942AC5"/>
    <w:rsid w:val="499B5CD3"/>
    <w:rsid w:val="49C37D91"/>
    <w:rsid w:val="49F83516"/>
    <w:rsid w:val="4A0214D9"/>
    <w:rsid w:val="4A080885"/>
    <w:rsid w:val="4A0E278E"/>
    <w:rsid w:val="4A323C48"/>
    <w:rsid w:val="4A361967"/>
    <w:rsid w:val="4A3C1FD9"/>
    <w:rsid w:val="4A423EE2"/>
    <w:rsid w:val="4A67453C"/>
    <w:rsid w:val="4A7D2A42"/>
    <w:rsid w:val="4A83494B"/>
    <w:rsid w:val="4A880DD3"/>
    <w:rsid w:val="4AB92C27"/>
    <w:rsid w:val="4AD54756"/>
    <w:rsid w:val="4AEE3FFB"/>
    <w:rsid w:val="4AF17541"/>
    <w:rsid w:val="4B0E2331"/>
    <w:rsid w:val="4B170A42"/>
    <w:rsid w:val="4B275459"/>
    <w:rsid w:val="4B292412"/>
    <w:rsid w:val="4B5936AA"/>
    <w:rsid w:val="4B652D40"/>
    <w:rsid w:val="4B870CF6"/>
    <w:rsid w:val="4B9D25AF"/>
    <w:rsid w:val="4BB927CA"/>
    <w:rsid w:val="4BD777FC"/>
    <w:rsid w:val="4BE87A96"/>
    <w:rsid w:val="4C1415E6"/>
    <w:rsid w:val="4C1672E0"/>
    <w:rsid w:val="4C1E7F70"/>
    <w:rsid w:val="4C3B1A9E"/>
    <w:rsid w:val="4C3D4FA2"/>
    <w:rsid w:val="4C4658B1"/>
    <w:rsid w:val="4C6D7CEF"/>
    <w:rsid w:val="4C9124AD"/>
    <w:rsid w:val="4CA22748"/>
    <w:rsid w:val="4CAF785F"/>
    <w:rsid w:val="4CC84B86"/>
    <w:rsid w:val="4CE36A34"/>
    <w:rsid w:val="4CE82EBC"/>
    <w:rsid w:val="4CEB3E41"/>
    <w:rsid w:val="4CF27F48"/>
    <w:rsid w:val="4CFA1FE0"/>
    <w:rsid w:val="4D251C64"/>
    <w:rsid w:val="4D383F40"/>
    <w:rsid w:val="4D463256"/>
    <w:rsid w:val="4D4941DA"/>
    <w:rsid w:val="4D5A74CD"/>
    <w:rsid w:val="4D5B7669"/>
    <w:rsid w:val="4D9809BA"/>
    <w:rsid w:val="4DA25B6E"/>
    <w:rsid w:val="4DAF0B80"/>
    <w:rsid w:val="4DB14B03"/>
    <w:rsid w:val="4DB4130B"/>
    <w:rsid w:val="4DD827C4"/>
    <w:rsid w:val="4DDB430B"/>
    <w:rsid w:val="4DDC11CB"/>
    <w:rsid w:val="4DDD0570"/>
    <w:rsid w:val="4DE03227"/>
    <w:rsid w:val="4E0B1D1A"/>
    <w:rsid w:val="4E400EEF"/>
    <w:rsid w:val="4E4243F2"/>
    <w:rsid w:val="4E5263F6"/>
    <w:rsid w:val="4E6A7A98"/>
    <w:rsid w:val="4E6B5B50"/>
    <w:rsid w:val="4E6F3F3D"/>
    <w:rsid w:val="4E727140"/>
    <w:rsid w:val="4E811958"/>
    <w:rsid w:val="4E865DE0"/>
    <w:rsid w:val="4E896D65"/>
    <w:rsid w:val="4EA25710"/>
    <w:rsid w:val="4EC314C8"/>
    <w:rsid w:val="4EC95EA5"/>
    <w:rsid w:val="4EDA586A"/>
    <w:rsid w:val="4EEB1388"/>
    <w:rsid w:val="4EFA3BA1"/>
    <w:rsid w:val="4F1C2FFF"/>
    <w:rsid w:val="4F4F5519"/>
    <w:rsid w:val="4F722566"/>
    <w:rsid w:val="4F7351DF"/>
    <w:rsid w:val="4F843B05"/>
    <w:rsid w:val="4F905399"/>
    <w:rsid w:val="4FA07BB2"/>
    <w:rsid w:val="4FAD3644"/>
    <w:rsid w:val="4FD41305"/>
    <w:rsid w:val="4FDA0C90"/>
    <w:rsid w:val="4FFA2EC7"/>
    <w:rsid w:val="50484B47"/>
    <w:rsid w:val="505179D5"/>
    <w:rsid w:val="505563DC"/>
    <w:rsid w:val="508942AC"/>
    <w:rsid w:val="508B5231"/>
    <w:rsid w:val="50A613CD"/>
    <w:rsid w:val="50AB1369"/>
    <w:rsid w:val="50BE6D04"/>
    <w:rsid w:val="50C20F8E"/>
    <w:rsid w:val="50F129D7"/>
    <w:rsid w:val="50F61095"/>
    <w:rsid w:val="50FB1B85"/>
    <w:rsid w:val="510C4885"/>
    <w:rsid w:val="510D7BE3"/>
    <w:rsid w:val="51105C9A"/>
    <w:rsid w:val="51206DA9"/>
    <w:rsid w:val="512A4777"/>
    <w:rsid w:val="51380BCD"/>
    <w:rsid w:val="51465964"/>
    <w:rsid w:val="514D2E96"/>
    <w:rsid w:val="51563A00"/>
    <w:rsid w:val="515D338B"/>
    <w:rsid w:val="5160430F"/>
    <w:rsid w:val="51635294"/>
    <w:rsid w:val="516B151B"/>
    <w:rsid w:val="5184297F"/>
    <w:rsid w:val="518B6458"/>
    <w:rsid w:val="518E3563"/>
    <w:rsid w:val="51A227FA"/>
    <w:rsid w:val="51AB0F0B"/>
    <w:rsid w:val="51BD46A9"/>
    <w:rsid w:val="51C23892"/>
    <w:rsid w:val="51CC1440"/>
    <w:rsid w:val="51D442CE"/>
    <w:rsid w:val="51DA11B2"/>
    <w:rsid w:val="51E03B28"/>
    <w:rsid w:val="51F73589"/>
    <w:rsid w:val="51FA450E"/>
    <w:rsid w:val="520D1EAA"/>
    <w:rsid w:val="52331CFC"/>
    <w:rsid w:val="523720DE"/>
    <w:rsid w:val="523B72EB"/>
    <w:rsid w:val="526A0045"/>
    <w:rsid w:val="526C3493"/>
    <w:rsid w:val="52817C6A"/>
    <w:rsid w:val="528817F3"/>
    <w:rsid w:val="52AE2CBA"/>
    <w:rsid w:val="52B502B8"/>
    <w:rsid w:val="52C11D9C"/>
    <w:rsid w:val="52CE44E6"/>
    <w:rsid w:val="52D12EEC"/>
    <w:rsid w:val="52E5410B"/>
    <w:rsid w:val="52F82E3E"/>
    <w:rsid w:val="52FE1A9F"/>
    <w:rsid w:val="52FF0538"/>
    <w:rsid w:val="530E088F"/>
    <w:rsid w:val="53101AD7"/>
    <w:rsid w:val="53213F70"/>
    <w:rsid w:val="53400FA2"/>
    <w:rsid w:val="534122A6"/>
    <w:rsid w:val="534E3B3B"/>
    <w:rsid w:val="536227DB"/>
    <w:rsid w:val="53714FF4"/>
    <w:rsid w:val="537C3385"/>
    <w:rsid w:val="53B04AD9"/>
    <w:rsid w:val="53BB7C56"/>
    <w:rsid w:val="53D85C9D"/>
    <w:rsid w:val="53E45333"/>
    <w:rsid w:val="53E61DFE"/>
    <w:rsid w:val="53F10DC5"/>
    <w:rsid w:val="53F73E37"/>
    <w:rsid w:val="53FC7156"/>
    <w:rsid w:val="542F66AC"/>
    <w:rsid w:val="54423F0B"/>
    <w:rsid w:val="54687B0A"/>
    <w:rsid w:val="54B6568B"/>
    <w:rsid w:val="55214D3B"/>
    <w:rsid w:val="553610E9"/>
    <w:rsid w:val="55413F6A"/>
    <w:rsid w:val="55640CA7"/>
    <w:rsid w:val="557B2E4B"/>
    <w:rsid w:val="558C0B67"/>
    <w:rsid w:val="55C21041"/>
    <w:rsid w:val="55C36AC2"/>
    <w:rsid w:val="55CB3ECF"/>
    <w:rsid w:val="55DF2B6F"/>
    <w:rsid w:val="55FB2A84"/>
    <w:rsid w:val="562C0907"/>
    <w:rsid w:val="563410E4"/>
    <w:rsid w:val="5635357E"/>
    <w:rsid w:val="5648259F"/>
    <w:rsid w:val="564C0FA5"/>
    <w:rsid w:val="56623148"/>
    <w:rsid w:val="566540CD"/>
    <w:rsid w:val="566E49DC"/>
    <w:rsid w:val="56925E96"/>
    <w:rsid w:val="569F51AC"/>
    <w:rsid w:val="56A354F2"/>
    <w:rsid w:val="56A919C7"/>
    <w:rsid w:val="56DB758F"/>
    <w:rsid w:val="56DF5F95"/>
    <w:rsid w:val="56DF70E2"/>
    <w:rsid w:val="56FC7AC4"/>
    <w:rsid w:val="57163EF1"/>
    <w:rsid w:val="57363121"/>
    <w:rsid w:val="574249B5"/>
    <w:rsid w:val="574746C0"/>
    <w:rsid w:val="57503CCA"/>
    <w:rsid w:val="575326D1"/>
    <w:rsid w:val="576F337C"/>
    <w:rsid w:val="57720D87"/>
    <w:rsid w:val="57722F85"/>
    <w:rsid w:val="578C3672"/>
    <w:rsid w:val="578E7032"/>
    <w:rsid w:val="57902535"/>
    <w:rsid w:val="57A47E99"/>
    <w:rsid w:val="57A624DB"/>
    <w:rsid w:val="57A646D9"/>
    <w:rsid w:val="57A9565E"/>
    <w:rsid w:val="57B85C78"/>
    <w:rsid w:val="57FD0183"/>
    <w:rsid w:val="580D5382"/>
    <w:rsid w:val="58171515"/>
    <w:rsid w:val="58327B40"/>
    <w:rsid w:val="58560FFA"/>
    <w:rsid w:val="58596163"/>
    <w:rsid w:val="585E1C89"/>
    <w:rsid w:val="58676D16"/>
    <w:rsid w:val="587353F6"/>
    <w:rsid w:val="587E693B"/>
    <w:rsid w:val="58951DE3"/>
    <w:rsid w:val="58B21713"/>
    <w:rsid w:val="58B74E26"/>
    <w:rsid w:val="58D3346B"/>
    <w:rsid w:val="58DF34DC"/>
    <w:rsid w:val="58E169DF"/>
    <w:rsid w:val="59024996"/>
    <w:rsid w:val="591B7558"/>
    <w:rsid w:val="593041E0"/>
    <w:rsid w:val="59466384"/>
    <w:rsid w:val="59630CD8"/>
    <w:rsid w:val="596C74DE"/>
    <w:rsid w:val="598900F2"/>
    <w:rsid w:val="59D44476"/>
    <w:rsid w:val="59E84AD6"/>
    <w:rsid w:val="59F43024"/>
    <w:rsid w:val="59FE3934"/>
    <w:rsid w:val="5A097746"/>
    <w:rsid w:val="5A157CD6"/>
    <w:rsid w:val="5A165757"/>
    <w:rsid w:val="5A2E6681"/>
    <w:rsid w:val="5A384F1D"/>
    <w:rsid w:val="5A732920"/>
    <w:rsid w:val="5A9802AF"/>
    <w:rsid w:val="5AB242ED"/>
    <w:rsid w:val="5AC07809"/>
    <w:rsid w:val="5AE96DB5"/>
    <w:rsid w:val="5AEE1B4C"/>
    <w:rsid w:val="5AFC7FD4"/>
    <w:rsid w:val="5B0D5CEF"/>
    <w:rsid w:val="5B204D10"/>
    <w:rsid w:val="5B3E64BE"/>
    <w:rsid w:val="5B4C1057"/>
    <w:rsid w:val="5B546464"/>
    <w:rsid w:val="5B7E2B2B"/>
    <w:rsid w:val="5B9C6858"/>
    <w:rsid w:val="5BAB48F4"/>
    <w:rsid w:val="5BF01B65"/>
    <w:rsid w:val="5BF714F0"/>
    <w:rsid w:val="5BFB734B"/>
    <w:rsid w:val="5BFE219A"/>
    <w:rsid w:val="5C104619"/>
    <w:rsid w:val="5C140AA0"/>
    <w:rsid w:val="5C1A7126"/>
    <w:rsid w:val="5C2330DD"/>
    <w:rsid w:val="5C44061F"/>
    <w:rsid w:val="5C59248E"/>
    <w:rsid w:val="5C595D12"/>
    <w:rsid w:val="5C622D9E"/>
    <w:rsid w:val="5C6D49B2"/>
    <w:rsid w:val="5C7255B7"/>
    <w:rsid w:val="5C751409"/>
    <w:rsid w:val="5C7D13C9"/>
    <w:rsid w:val="5CA23B87"/>
    <w:rsid w:val="5CB73B2D"/>
    <w:rsid w:val="5CC93A47"/>
    <w:rsid w:val="5CD22158"/>
    <w:rsid w:val="5CD57859"/>
    <w:rsid w:val="5CD765E0"/>
    <w:rsid w:val="5CE7687A"/>
    <w:rsid w:val="5D135140"/>
    <w:rsid w:val="5D1F69D4"/>
    <w:rsid w:val="5D2C0268"/>
    <w:rsid w:val="5D3543FB"/>
    <w:rsid w:val="5D392E01"/>
    <w:rsid w:val="5D497818"/>
    <w:rsid w:val="5D6416C7"/>
    <w:rsid w:val="5D6F7A58"/>
    <w:rsid w:val="5D796643"/>
    <w:rsid w:val="5D907F8D"/>
    <w:rsid w:val="5DC30091"/>
    <w:rsid w:val="5DDB4B89"/>
    <w:rsid w:val="5DE11583"/>
    <w:rsid w:val="5DE27D97"/>
    <w:rsid w:val="5E033269"/>
    <w:rsid w:val="5E1A7EF1"/>
    <w:rsid w:val="5E340A9B"/>
    <w:rsid w:val="5E437095"/>
    <w:rsid w:val="5E556A51"/>
    <w:rsid w:val="5E5E2E80"/>
    <w:rsid w:val="5E604DE2"/>
    <w:rsid w:val="5E6C156F"/>
    <w:rsid w:val="5E8E3EC1"/>
    <w:rsid w:val="5E9B254F"/>
    <w:rsid w:val="5EA0364D"/>
    <w:rsid w:val="5EAF03E4"/>
    <w:rsid w:val="5EB37FBF"/>
    <w:rsid w:val="5ECF7A65"/>
    <w:rsid w:val="5ED83A53"/>
    <w:rsid w:val="5EF86DE5"/>
    <w:rsid w:val="5F2D4536"/>
    <w:rsid w:val="5F2E1FB7"/>
    <w:rsid w:val="5F2F41B6"/>
    <w:rsid w:val="5F3D0F4D"/>
    <w:rsid w:val="5F47185C"/>
    <w:rsid w:val="5F4905E3"/>
    <w:rsid w:val="5F4B3DBC"/>
    <w:rsid w:val="5F506D58"/>
    <w:rsid w:val="5F561E77"/>
    <w:rsid w:val="5F677B93"/>
    <w:rsid w:val="5F713D25"/>
    <w:rsid w:val="5F7C42B5"/>
    <w:rsid w:val="5F860448"/>
    <w:rsid w:val="5F9B6E3F"/>
    <w:rsid w:val="5FA93E7F"/>
    <w:rsid w:val="5FBA1B9B"/>
    <w:rsid w:val="5FDB1ACE"/>
    <w:rsid w:val="5FDF108A"/>
    <w:rsid w:val="5FE46263"/>
    <w:rsid w:val="6001450E"/>
    <w:rsid w:val="60032949"/>
    <w:rsid w:val="60584F1D"/>
    <w:rsid w:val="605E6476"/>
    <w:rsid w:val="60BC04C4"/>
    <w:rsid w:val="60CE03DF"/>
    <w:rsid w:val="60D422E8"/>
    <w:rsid w:val="60DA41F1"/>
    <w:rsid w:val="60F01C18"/>
    <w:rsid w:val="61082B42"/>
    <w:rsid w:val="611C3D61"/>
    <w:rsid w:val="6142291C"/>
    <w:rsid w:val="61502F36"/>
    <w:rsid w:val="61540C45"/>
    <w:rsid w:val="61782DF6"/>
    <w:rsid w:val="618E4F99"/>
    <w:rsid w:val="619E191F"/>
    <w:rsid w:val="61A50442"/>
    <w:rsid w:val="61C45474"/>
    <w:rsid w:val="61DA6C63"/>
    <w:rsid w:val="61DE601D"/>
    <w:rsid w:val="62111CEF"/>
    <w:rsid w:val="62242228"/>
    <w:rsid w:val="624C1ED5"/>
    <w:rsid w:val="62556F61"/>
    <w:rsid w:val="62624078"/>
    <w:rsid w:val="62776D92"/>
    <w:rsid w:val="62782999"/>
    <w:rsid w:val="62792BC7"/>
    <w:rsid w:val="6297324D"/>
    <w:rsid w:val="62B1767B"/>
    <w:rsid w:val="62B51B1D"/>
    <w:rsid w:val="62BA4707"/>
    <w:rsid w:val="62C21B13"/>
    <w:rsid w:val="62C45016"/>
    <w:rsid w:val="62CF6C2B"/>
    <w:rsid w:val="62E47AC9"/>
    <w:rsid w:val="62FD6475"/>
    <w:rsid w:val="632750BB"/>
    <w:rsid w:val="632B4C91"/>
    <w:rsid w:val="633555F4"/>
    <w:rsid w:val="63394FD5"/>
    <w:rsid w:val="63490AF3"/>
    <w:rsid w:val="63531402"/>
    <w:rsid w:val="638A735E"/>
    <w:rsid w:val="63AA400F"/>
    <w:rsid w:val="63B1721D"/>
    <w:rsid w:val="63B2141C"/>
    <w:rsid w:val="63BE0AB1"/>
    <w:rsid w:val="63C464CF"/>
    <w:rsid w:val="63C948C4"/>
    <w:rsid w:val="63CE4E83"/>
    <w:rsid w:val="63D23FB7"/>
    <w:rsid w:val="63D608B4"/>
    <w:rsid w:val="63DD44B5"/>
    <w:rsid w:val="63E43B3C"/>
    <w:rsid w:val="640102A1"/>
    <w:rsid w:val="642D45E8"/>
    <w:rsid w:val="644F301E"/>
    <w:rsid w:val="64515AA2"/>
    <w:rsid w:val="645D7336"/>
    <w:rsid w:val="646215BF"/>
    <w:rsid w:val="64725FD6"/>
    <w:rsid w:val="64783763"/>
    <w:rsid w:val="647D1DE9"/>
    <w:rsid w:val="64C43B5D"/>
    <w:rsid w:val="64C70F64"/>
    <w:rsid w:val="64E46315"/>
    <w:rsid w:val="65310993"/>
    <w:rsid w:val="654031AC"/>
    <w:rsid w:val="655578CE"/>
    <w:rsid w:val="65735178"/>
    <w:rsid w:val="658B7DA8"/>
    <w:rsid w:val="658D169F"/>
    <w:rsid w:val="658E4334"/>
    <w:rsid w:val="658E54A9"/>
    <w:rsid w:val="65A663D3"/>
    <w:rsid w:val="65D5369F"/>
    <w:rsid w:val="65E90142"/>
    <w:rsid w:val="65EB3645"/>
    <w:rsid w:val="65EF4249"/>
    <w:rsid w:val="65F20A51"/>
    <w:rsid w:val="66001F65"/>
    <w:rsid w:val="662908FF"/>
    <w:rsid w:val="663414BA"/>
    <w:rsid w:val="6674513E"/>
    <w:rsid w:val="667C14DE"/>
    <w:rsid w:val="667C18AF"/>
    <w:rsid w:val="668E08CF"/>
    <w:rsid w:val="66AC06BC"/>
    <w:rsid w:val="66BB049A"/>
    <w:rsid w:val="66CB0734"/>
    <w:rsid w:val="66DD064E"/>
    <w:rsid w:val="67065B78"/>
    <w:rsid w:val="67237431"/>
    <w:rsid w:val="672A1FE3"/>
    <w:rsid w:val="672C3C51"/>
    <w:rsid w:val="676550B0"/>
    <w:rsid w:val="67694A84"/>
    <w:rsid w:val="678B52EF"/>
    <w:rsid w:val="67A05409"/>
    <w:rsid w:val="67B01CAC"/>
    <w:rsid w:val="67C279C8"/>
    <w:rsid w:val="67E3597E"/>
    <w:rsid w:val="67E74384"/>
    <w:rsid w:val="67EA0B8C"/>
    <w:rsid w:val="68095BBE"/>
    <w:rsid w:val="680D67C2"/>
    <w:rsid w:val="68172955"/>
    <w:rsid w:val="681C6DDC"/>
    <w:rsid w:val="682C7077"/>
    <w:rsid w:val="683F1C20"/>
    <w:rsid w:val="684756A2"/>
    <w:rsid w:val="68577EBB"/>
    <w:rsid w:val="68727990"/>
    <w:rsid w:val="687C7414"/>
    <w:rsid w:val="68837A86"/>
    <w:rsid w:val="689C682D"/>
    <w:rsid w:val="68A2033A"/>
    <w:rsid w:val="68A35DBC"/>
    <w:rsid w:val="68AA5747"/>
    <w:rsid w:val="68B42246"/>
    <w:rsid w:val="68C20AB3"/>
    <w:rsid w:val="68D15ECC"/>
    <w:rsid w:val="68D827DC"/>
    <w:rsid w:val="68FB09C9"/>
    <w:rsid w:val="691A127E"/>
    <w:rsid w:val="69461D42"/>
    <w:rsid w:val="69521E14"/>
    <w:rsid w:val="697C5A9F"/>
    <w:rsid w:val="698279A8"/>
    <w:rsid w:val="699102C2"/>
    <w:rsid w:val="69956CD9"/>
    <w:rsid w:val="69A50E62"/>
    <w:rsid w:val="69AC1F6E"/>
    <w:rsid w:val="69C40C04"/>
    <w:rsid w:val="69DB133C"/>
    <w:rsid w:val="69E92850"/>
    <w:rsid w:val="69ED7058"/>
    <w:rsid w:val="6A017EF7"/>
    <w:rsid w:val="6A0C6288"/>
    <w:rsid w:val="6A0E45F4"/>
    <w:rsid w:val="6A115F93"/>
    <w:rsid w:val="6A116D0D"/>
    <w:rsid w:val="6A2471B2"/>
    <w:rsid w:val="6A254C33"/>
    <w:rsid w:val="6A3A7157"/>
    <w:rsid w:val="6A483EEE"/>
    <w:rsid w:val="6A4B15F0"/>
    <w:rsid w:val="6A4B4404"/>
    <w:rsid w:val="6A4C28F4"/>
    <w:rsid w:val="6A510F7A"/>
    <w:rsid w:val="6A563204"/>
    <w:rsid w:val="6A6C5AFC"/>
    <w:rsid w:val="6A6F00B4"/>
    <w:rsid w:val="6A7833B8"/>
    <w:rsid w:val="6A886ED6"/>
    <w:rsid w:val="6A9321F3"/>
    <w:rsid w:val="6A9737B1"/>
    <w:rsid w:val="6A997170"/>
    <w:rsid w:val="6A9A6657"/>
    <w:rsid w:val="6A9C00F5"/>
    <w:rsid w:val="6AA16B15"/>
    <w:rsid w:val="6AAD1319"/>
    <w:rsid w:val="6AB841A2"/>
    <w:rsid w:val="6AC91EBE"/>
    <w:rsid w:val="6ADB565B"/>
    <w:rsid w:val="6AFC4C97"/>
    <w:rsid w:val="6B2807B2"/>
    <w:rsid w:val="6B2D1BE2"/>
    <w:rsid w:val="6B3E5700"/>
    <w:rsid w:val="6B4E5E7B"/>
    <w:rsid w:val="6B5819DA"/>
    <w:rsid w:val="6B6C0488"/>
    <w:rsid w:val="6B7610DD"/>
    <w:rsid w:val="6BAA4A2F"/>
    <w:rsid w:val="6BCE4FEF"/>
    <w:rsid w:val="6BF264A8"/>
    <w:rsid w:val="6BF64EAE"/>
    <w:rsid w:val="6C0960CD"/>
    <w:rsid w:val="6C1D4D6E"/>
    <w:rsid w:val="6C2052C5"/>
    <w:rsid w:val="6C2C1B05"/>
    <w:rsid w:val="6C2E088C"/>
    <w:rsid w:val="6C434FAE"/>
    <w:rsid w:val="6C493C37"/>
    <w:rsid w:val="6C573C4E"/>
    <w:rsid w:val="6C600CDA"/>
    <w:rsid w:val="6C6D256F"/>
    <w:rsid w:val="6C7147F8"/>
    <w:rsid w:val="6C7C2B89"/>
    <w:rsid w:val="6CBA5EF1"/>
    <w:rsid w:val="6CC27A7A"/>
    <w:rsid w:val="6CD46A9B"/>
    <w:rsid w:val="6CD77A20"/>
    <w:rsid w:val="6CD8449D"/>
    <w:rsid w:val="6CE66A13"/>
    <w:rsid w:val="6D0D7EFA"/>
    <w:rsid w:val="6D136580"/>
    <w:rsid w:val="6D300E15"/>
    <w:rsid w:val="6D4C7914"/>
    <w:rsid w:val="6D621F11"/>
    <w:rsid w:val="6D756624"/>
    <w:rsid w:val="6D8049B5"/>
    <w:rsid w:val="6DC8062D"/>
    <w:rsid w:val="6DCA3B30"/>
    <w:rsid w:val="6DE02450"/>
    <w:rsid w:val="6DEB6263"/>
    <w:rsid w:val="6DF90DFC"/>
    <w:rsid w:val="6E03170B"/>
    <w:rsid w:val="6E154EA9"/>
    <w:rsid w:val="6E1E7D37"/>
    <w:rsid w:val="6E4965FC"/>
    <w:rsid w:val="6E540211"/>
    <w:rsid w:val="6E5C3028"/>
    <w:rsid w:val="6E671430"/>
    <w:rsid w:val="6E9047F2"/>
    <w:rsid w:val="6E974319"/>
    <w:rsid w:val="6EA50F15"/>
    <w:rsid w:val="6EB87F35"/>
    <w:rsid w:val="6EDA23E8"/>
    <w:rsid w:val="6EF15B11"/>
    <w:rsid w:val="6F0A66BA"/>
    <w:rsid w:val="6F1005C4"/>
    <w:rsid w:val="6F2E1F8D"/>
    <w:rsid w:val="6F321DFD"/>
    <w:rsid w:val="6F6C0CDE"/>
    <w:rsid w:val="6F7B7C73"/>
    <w:rsid w:val="6F7C56F5"/>
    <w:rsid w:val="6FB33650"/>
    <w:rsid w:val="6FC04EE4"/>
    <w:rsid w:val="6FCC6779"/>
    <w:rsid w:val="6FD0517F"/>
    <w:rsid w:val="70054B08"/>
    <w:rsid w:val="70077857"/>
    <w:rsid w:val="70180CEA"/>
    <w:rsid w:val="70291091"/>
    <w:rsid w:val="703B23DF"/>
    <w:rsid w:val="7040454F"/>
    <w:rsid w:val="70447E3C"/>
    <w:rsid w:val="706C0880"/>
    <w:rsid w:val="70992649"/>
    <w:rsid w:val="709D48D3"/>
    <w:rsid w:val="70A0209D"/>
    <w:rsid w:val="70A20D5A"/>
    <w:rsid w:val="70C94717"/>
    <w:rsid w:val="70CC0A6D"/>
    <w:rsid w:val="70E262C1"/>
    <w:rsid w:val="70F95EE6"/>
    <w:rsid w:val="710C7A14"/>
    <w:rsid w:val="71205DA5"/>
    <w:rsid w:val="714040DC"/>
    <w:rsid w:val="714A734D"/>
    <w:rsid w:val="716465D2"/>
    <w:rsid w:val="718957D5"/>
    <w:rsid w:val="718C2ED6"/>
    <w:rsid w:val="718E63D9"/>
    <w:rsid w:val="71A053FA"/>
    <w:rsid w:val="71A70583"/>
    <w:rsid w:val="71AF2191"/>
    <w:rsid w:val="71B43350"/>
    <w:rsid w:val="71B46619"/>
    <w:rsid w:val="71DB64D8"/>
    <w:rsid w:val="71FC2290"/>
    <w:rsid w:val="71FD7D12"/>
    <w:rsid w:val="71FF3215"/>
    <w:rsid w:val="720860A3"/>
    <w:rsid w:val="721553B9"/>
    <w:rsid w:val="722630D5"/>
    <w:rsid w:val="72294059"/>
    <w:rsid w:val="72487957"/>
    <w:rsid w:val="72596DA7"/>
    <w:rsid w:val="725C7D2B"/>
    <w:rsid w:val="725D1030"/>
    <w:rsid w:val="725E322F"/>
    <w:rsid w:val="725E6AB2"/>
    <w:rsid w:val="726E34C9"/>
    <w:rsid w:val="72756A1D"/>
    <w:rsid w:val="72A33D23"/>
    <w:rsid w:val="72B13766"/>
    <w:rsid w:val="72C267D6"/>
    <w:rsid w:val="72C773DB"/>
    <w:rsid w:val="72CA035F"/>
    <w:rsid w:val="72D20FEF"/>
    <w:rsid w:val="73403821"/>
    <w:rsid w:val="737230F7"/>
    <w:rsid w:val="737D3686"/>
    <w:rsid w:val="737E1108"/>
    <w:rsid w:val="73910128"/>
    <w:rsid w:val="73A41347"/>
    <w:rsid w:val="73AF515A"/>
    <w:rsid w:val="73B43C93"/>
    <w:rsid w:val="74055DD8"/>
    <w:rsid w:val="74113EFA"/>
    <w:rsid w:val="743C27BF"/>
    <w:rsid w:val="74481E55"/>
    <w:rsid w:val="744A5358"/>
    <w:rsid w:val="744C2A5A"/>
    <w:rsid w:val="745B3074"/>
    <w:rsid w:val="74F53273"/>
    <w:rsid w:val="74FB18F9"/>
    <w:rsid w:val="75032589"/>
    <w:rsid w:val="75055A8C"/>
    <w:rsid w:val="750C2E98"/>
    <w:rsid w:val="751E0BB4"/>
    <w:rsid w:val="753529D7"/>
    <w:rsid w:val="75450A73"/>
    <w:rsid w:val="75470E99"/>
    <w:rsid w:val="75476385"/>
    <w:rsid w:val="75772547"/>
    <w:rsid w:val="75A40A8D"/>
    <w:rsid w:val="75D85A64"/>
    <w:rsid w:val="75E108F2"/>
    <w:rsid w:val="75E8239D"/>
    <w:rsid w:val="75EA71FF"/>
    <w:rsid w:val="76147E47"/>
    <w:rsid w:val="76203C5A"/>
    <w:rsid w:val="764928A0"/>
    <w:rsid w:val="766D53A4"/>
    <w:rsid w:val="767955ED"/>
    <w:rsid w:val="768925BB"/>
    <w:rsid w:val="76920715"/>
    <w:rsid w:val="769B6E27"/>
    <w:rsid w:val="76A1564B"/>
    <w:rsid w:val="76C137E3"/>
    <w:rsid w:val="76E13D18"/>
    <w:rsid w:val="76EA521B"/>
    <w:rsid w:val="771976F5"/>
    <w:rsid w:val="7728668A"/>
    <w:rsid w:val="772F2298"/>
    <w:rsid w:val="773A43A6"/>
    <w:rsid w:val="77430539"/>
    <w:rsid w:val="775646F9"/>
    <w:rsid w:val="77700104"/>
    <w:rsid w:val="77712302"/>
    <w:rsid w:val="7773620E"/>
    <w:rsid w:val="77B64FF5"/>
    <w:rsid w:val="77BB78D6"/>
    <w:rsid w:val="77C6528F"/>
    <w:rsid w:val="77DE0910"/>
    <w:rsid w:val="77E03C3B"/>
    <w:rsid w:val="77EB2E35"/>
    <w:rsid w:val="77F62D51"/>
    <w:rsid w:val="77FB040B"/>
    <w:rsid w:val="780C7F82"/>
    <w:rsid w:val="781B279B"/>
    <w:rsid w:val="78206C22"/>
    <w:rsid w:val="784513E1"/>
    <w:rsid w:val="784A7A67"/>
    <w:rsid w:val="786C5A1D"/>
    <w:rsid w:val="788A0850"/>
    <w:rsid w:val="78AE558D"/>
    <w:rsid w:val="78B57116"/>
    <w:rsid w:val="78BA359E"/>
    <w:rsid w:val="78C62C34"/>
    <w:rsid w:val="78DC4DD7"/>
    <w:rsid w:val="78E940ED"/>
    <w:rsid w:val="79312349"/>
    <w:rsid w:val="793D3B77"/>
    <w:rsid w:val="794157FA"/>
    <w:rsid w:val="79587FA4"/>
    <w:rsid w:val="79645FB5"/>
    <w:rsid w:val="797926D7"/>
    <w:rsid w:val="79795F5A"/>
    <w:rsid w:val="79802062"/>
    <w:rsid w:val="79892971"/>
    <w:rsid w:val="798B16F8"/>
    <w:rsid w:val="798E6DF9"/>
    <w:rsid w:val="79956784"/>
    <w:rsid w:val="79B23B36"/>
    <w:rsid w:val="79C70258"/>
    <w:rsid w:val="79D4536F"/>
    <w:rsid w:val="79EA1711"/>
    <w:rsid w:val="79EE2F80"/>
    <w:rsid w:val="7A1947DF"/>
    <w:rsid w:val="7A3507F6"/>
    <w:rsid w:val="7A4269F2"/>
    <w:rsid w:val="7A4665A8"/>
    <w:rsid w:val="7A4F1436"/>
    <w:rsid w:val="7A643AE6"/>
    <w:rsid w:val="7A6B0D66"/>
    <w:rsid w:val="7A962EAF"/>
    <w:rsid w:val="7A9905B0"/>
    <w:rsid w:val="7AA11240"/>
    <w:rsid w:val="7AA6383C"/>
    <w:rsid w:val="7AB26F5C"/>
    <w:rsid w:val="7AB620DF"/>
    <w:rsid w:val="7ACF5207"/>
    <w:rsid w:val="7B207590"/>
    <w:rsid w:val="7B242713"/>
    <w:rsid w:val="7B261499"/>
    <w:rsid w:val="7B2D3022"/>
    <w:rsid w:val="7B353CB2"/>
    <w:rsid w:val="7B396E35"/>
    <w:rsid w:val="7B3B5BBB"/>
    <w:rsid w:val="7B540CE3"/>
    <w:rsid w:val="7B5876EA"/>
    <w:rsid w:val="7B671F02"/>
    <w:rsid w:val="7B7A3121"/>
    <w:rsid w:val="7B7B0BA3"/>
    <w:rsid w:val="7B93624A"/>
    <w:rsid w:val="7BA72CEC"/>
    <w:rsid w:val="7BBB198C"/>
    <w:rsid w:val="7BBE6194"/>
    <w:rsid w:val="7BBF13B3"/>
    <w:rsid w:val="7BC4481A"/>
    <w:rsid w:val="7BCE2BAB"/>
    <w:rsid w:val="7BD215B2"/>
    <w:rsid w:val="7BD55DBA"/>
    <w:rsid w:val="7BE2184C"/>
    <w:rsid w:val="7BE42B51"/>
    <w:rsid w:val="7C0F1417"/>
    <w:rsid w:val="7C3F79E7"/>
    <w:rsid w:val="7C4D0EFB"/>
    <w:rsid w:val="7C617073"/>
    <w:rsid w:val="7C675328"/>
    <w:rsid w:val="7C69082B"/>
    <w:rsid w:val="7C7B6547"/>
    <w:rsid w:val="7C815ED2"/>
    <w:rsid w:val="7C88585D"/>
    <w:rsid w:val="7C970076"/>
    <w:rsid w:val="7CB0319E"/>
    <w:rsid w:val="7CC6546E"/>
    <w:rsid w:val="7CC65E14"/>
    <w:rsid w:val="7CF51831"/>
    <w:rsid w:val="7D156746"/>
    <w:rsid w:val="7D177C63"/>
    <w:rsid w:val="7D206CD5"/>
    <w:rsid w:val="7D3B0B84"/>
    <w:rsid w:val="7D53622B"/>
    <w:rsid w:val="7D5939B7"/>
    <w:rsid w:val="7D5B58CF"/>
    <w:rsid w:val="7D5C3AF1"/>
    <w:rsid w:val="7D653F46"/>
    <w:rsid w:val="7D785165"/>
    <w:rsid w:val="7D8A4186"/>
    <w:rsid w:val="7DB31AC7"/>
    <w:rsid w:val="7DBC249E"/>
    <w:rsid w:val="7DC202B0"/>
    <w:rsid w:val="7DC210CE"/>
    <w:rsid w:val="7DCE3976"/>
    <w:rsid w:val="7DDF7DE9"/>
    <w:rsid w:val="7DF115D5"/>
    <w:rsid w:val="7DFB573F"/>
    <w:rsid w:val="7E0A24D6"/>
    <w:rsid w:val="7E4030DF"/>
    <w:rsid w:val="7E4D1CC6"/>
    <w:rsid w:val="7E5B2CAB"/>
    <w:rsid w:val="7E757607"/>
    <w:rsid w:val="7E994343"/>
    <w:rsid w:val="7E9B7847"/>
    <w:rsid w:val="7EB470EC"/>
    <w:rsid w:val="7ECD2214"/>
    <w:rsid w:val="7EDA74B4"/>
    <w:rsid w:val="7EDF1235"/>
    <w:rsid w:val="7EFB30E3"/>
    <w:rsid w:val="7EFB52E1"/>
    <w:rsid w:val="7F0A2079"/>
    <w:rsid w:val="7F0E29B0"/>
    <w:rsid w:val="7F0F3F28"/>
    <w:rsid w:val="7F1E459D"/>
    <w:rsid w:val="7F1F201E"/>
    <w:rsid w:val="7F2B5E31"/>
    <w:rsid w:val="7F2E4837"/>
    <w:rsid w:val="7F461EDE"/>
    <w:rsid w:val="7F4A08E4"/>
    <w:rsid w:val="7F5411F3"/>
    <w:rsid w:val="7F6E1D9D"/>
    <w:rsid w:val="7F8903C9"/>
    <w:rsid w:val="7F9035D7"/>
    <w:rsid w:val="7FAC7684"/>
    <w:rsid w:val="7FAD2B87"/>
    <w:rsid w:val="7FBC31A1"/>
    <w:rsid w:val="7FC405AE"/>
    <w:rsid w:val="7FC95C68"/>
    <w:rsid w:val="7FD62322"/>
    <w:rsid w:val="7FDD36D6"/>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qFormat/>
    <w:uiPriority w:val="0"/>
    <w:pPr>
      <w:jc w:val="left"/>
    </w:pPr>
    <w:rPr>
      <w:rFonts w:ascii="Times New Roman" w:hAnsi="Times New Roman"/>
      <w:szCs w:val="24"/>
      <w:lang w:val="zh-CN"/>
    </w:rPr>
  </w:style>
  <w:style w:type="paragraph" w:styleId="3">
    <w:name w:val="Body Text 3"/>
    <w:basedOn w:val="1"/>
    <w:link w:val="38"/>
    <w:semiHidden/>
    <w:unhideWhenUsed/>
    <w:qFormat/>
    <w:uiPriority w:val="99"/>
    <w:pPr>
      <w:spacing w:after="120"/>
    </w:pPr>
    <w:rPr>
      <w:sz w:val="16"/>
      <w:szCs w:val="16"/>
    </w:rPr>
  </w:style>
  <w:style w:type="paragraph" w:styleId="4">
    <w:name w:val="Body Text"/>
    <w:basedOn w:val="1"/>
    <w:link w:val="27"/>
    <w:qFormat/>
    <w:uiPriority w:val="0"/>
    <w:pPr>
      <w:jc w:val="left"/>
    </w:pPr>
    <w:rPr>
      <w:rFonts w:ascii="宋体" w:hAnsi="Times New Roman"/>
      <w:szCs w:val="21"/>
      <w:lang w:val="zh-CN"/>
    </w:rPr>
  </w:style>
  <w:style w:type="paragraph" w:styleId="5">
    <w:name w:val="Body Text Indent 2"/>
    <w:basedOn w:val="1"/>
    <w:link w:val="39"/>
    <w:qFormat/>
    <w:uiPriority w:val="0"/>
    <w:pPr>
      <w:spacing w:after="120" w:line="480" w:lineRule="auto"/>
      <w:ind w:left="420" w:leftChars="200"/>
    </w:pPr>
    <w:rPr>
      <w:rFonts w:ascii="Times New Roman" w:hAnsi="Times New Roman"/>
      <w:szCs w:val="24"/>
    </w:rPr>
  </w:style>
  <w:style w:type="paragraph" w:styleId="6">
    <w:name w:val="endnote text"/>
    <w:basedOn w:val="1"/>
    <w:link w:val="45"/>
    <w:semiHidden/>
    <w:unhideWhenUsed/>
    <w:qFormat/>
    <w:uiPriority w:val="99"/>
    <w:pPr>
      <w:snapToGrid w:val="0"/>
      <w:jc w:val="left"/>
    </w:pPr>
  </w:style>
  <w:style w:type="paragraph" w:styleId="7">
    <w:name w:val="Balloon Text"/>
    <w:basedOn w:val="1"/>
    <w:link w:val="31"/>
    <w:semiHidden/>
    <w:unhideWhenUsed/>
    <w:qFormat/>
    <w:uiPriority w:val="99"/>
    <w:rPr>
      <w:sz w:val="18"/>
      <w:szCs w:val="18"/>
      <w:lang w:val="zh-CN"/>
    </w:rPr>
  </w:style>
  <w:style w:type="paragraph" w:styleId="8">
    <w:name w:val="footer"/>
    <w:basedOn w:val="1"/>
    <w:link w:val="24"/>
    <w:qFormat/>
    <w:uiPriority w:val="99"/>
    <w:pPr>
      <w:tabs>
        <w:tab w:val="center" w:pos="4153"/>
        <w:tab w:val="right" w:pos="8306"/>
      </w:tabs>
      <w:snapToGrid w:val="0"/>
      <w:jc w:val="left"/>
    </w:pPr>
    <w:rPr>
      <w:rFonts w:ascii="Times New Roman" w:hAnsi="Times New Roman"/>
      <w:sz w:val="18"/>
      <w:szCs w:val="18"/>
      <w:lang w:val="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sz w:val="18"/>
      <w:szCs w:val="18"/>
      <w:lang w:val="zh-CN"/>
    </w:rPr>
  </w:style>
  <w:style w:type="paragraph" w:styleId="10">
    <w:name w:val="footnote text"/>
    <w:basedOn w:val="1"/>
    <w:link w:val="32"/>
    <w:unhideWhenUsed/>
    <w:qFormat/>
    <w:uiPriority w:val="99"/>
    <w:pPr>
      <w:widowControl/>
      <w:adjustRightInd w:val="0"/>
      <w:snapToGrid w:val="0"/>
      <w:spacing w:after="200"/>
      <w:jc w:val="left"/>
    </w:pPr>
    <w:rPr>
      <w:rFonts w:ascii="Tahoma" w:hAnsi="Tahoma" w:eastAsia="微软雅黑"/>
      <w:kern w:val="0"/>
      <w:sz w:val="18"/>
      <w:szCs w:val="18"/>
      <w:lang w:val="zh-CN"/>
    </w:rPr>
  </w:style>
  <w:style w:type="paragraph" w:styleId="11">
    <w:name w:val="Body Text 2"/>
    <w:basedOn w:val="1"/>
    <w:link w:val="40"/>
    <w:qFormat/>
    <w:uiPriority w:val="99"/>
    <w:pPr>
      <w:jc w:val="left"/>
    </w:pPr>
    <w:rPr>
      <w:rFonts w:ascii="Times New Roman" w:hAnsi="Times New Roman"/>
      <w:kern w:val="0"/>
      <w:szCs w:val="21"/>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30"/>
    <w:qFormat/>
    <w:uiPriority w:val="0"/>
    <w:pPr>
      <w:spacing w:before="240" w:after="60"/>
      <w:jc w:val="center"/>
      <w:outlineLvl w:val="0"/>
    </w:pPr>
    <w:rPr>
      <w:rFonts w:ascii="Cambria" w:hAnsi="Cambria"/>
      <w:b/>
      <w:bCs/>
      <w:sz w:val="32"/>
      <w:szCs w:val="32"/>
      <w:lang w:val="zh-CN"/>
    </w:rPr>
  </w:style>
  <w:style w:type="paragraph" w:styleId="14">
    <w:name w:val="annotation subject"/>
    <w:basedOn w:val="2"/>
    <w:next w:val="2"/>
    <w:link w:val="34"/>
    <w:unhideWhenUsed/>
    <w:qFormat/>
    <w:uiPriority w:val="99"/>
    <w:rPr>
      <w:rFonts w:ascii="Calibri" w:hAnsi="Calibri"/>
      <w:b/>
      <w:bCs/>
      <w:szCs w:val="22"/>
      <w:lang w:val="en-U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cs="Times New Roman"/>
      <w:b/>
      <w:bCs/>
    </w:rPr>
  </w:style>
  <w:style w:type="character" w:styleId="19">
    <w:name w:val="endnote reference"/>
    <w:basedOn w:val="17"/>
    <w:semiHidden/>
    <w:unhideWhenUsed/>
    <w:qFormat/>
    <w:uiPriority w:val="99"/>
    <w:rPr>
      <w:vertAlign w:val="superscript"/>
    </w:rPr>
  </w:style>
  <w:style w:type="character" w:styleId="20">
    <w:name w:val="page number"/>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szCs w:val="21"/>
    </w:rPr>
  </w:style>
  <w:style w:type="character" w:styleId="23">
    <w:name w:val="footnote reference"/>
    <w:unhideWhenUsed/>
    <w:qFormat/>
    <w:uiPriority w:val="0"/>
    <w:rPr>
      <w:vertAlign w:val="superscript"/>
    </w:rPr>
  </w:style>
  <w:style w:type="character" w:customStyle="1" w:styleId="24">
    <w:name w:val="页脚 字符"/>
    <w:link w:val="8"/>
    <w:qFormat/>
    <w:uiPriority w:val="99"/>
    <w:rPr>
      <w:rFonts w:ascii="Times New Roman" w:hAnsi="Times New Roman"/>
      <w:kern w:val="2"/>
      <w:sz w:val="18"/>
      <w:szCs w:val="18"/>
      <w:lang w:val="zh-CN" w:eastAsia="zh-CN"/>
    </w:rPr>
  </w:style>
  <w:style w:type="character" w:customStyle="1" w:styleId="25">
    <w:name w:val="页眉 字符"/>
    <w:link w:val="9"/>
    <w:qFormat/>
    <w:uiPriority w:val="99"/>
    <w:rPr>
      <w:rFonts w:ascii="Times New Roman" w:hAnsi="Times New Roman"/>
      <w:kern w:val="2"/>
      <w:sz w:val="18"/>
      <w:szCs w:val="18"/>
      <w:lang w:val="zh-CN" w:eastAsia="zh-CN"/>
    </w:rPr>
  </w:style>
  <w:style w:type="character" w:customStyle="1" w:styleId="26">
    <w:name w:val="批注文字 字符"/>
    <w:link w:val="2"/>
    <w:semiHidden/>
    <w:qFormat/>
    <w:uiPriority w:val="0"/>
    <w:rPr>
      <w:rFonts w:ascii="Times New Roman" w:hAnsi="Times New Roman"/>
      <w:kern w:val="2"/>
      <w:sz w:val="21"/>
      <w:szCs w:val="24"/>
    </w:rPr>
  </w:style>
  <w:style w:type="character" w:customStyle="1" w:styleId="27">
    <w:name w:val="正文文本 字符"/>
    <w:link w:val="4"/>
    <w:qFormat/>
    <w:uiPriority w:val="0"/>
    <w:rPr>
      <w:rFonts w:ascii="宋体" w:hAnsi="Times New Roman"/>
      <w:kern w:val="2"/>
      <w:sz w:val="21"/>
      <w:szCs w:val="21"/>
      <w:lang w:val="zh-CN" w:eastAsia="zh-CN"/>
    </w:rPr>
  </w:style>
  <w:style w:type="paragraph" w:styleId="28">
    <w:name w:val="No Spacing"/>
    <w:link w:val="29"/>
    <w:qFormat/>
    <w:uiPriority w:val="1"/>
    <w:rPr>
      <w:rFonts w:ascii="Calibri" w:hAnsi="Calibri" w:eastAsia="宋体" w:cs="Times New Roman"/>
      <w:sz w:val="22"/>
      <w:szCs w:val="22"/>
      <w:lang w:val="en-US" w:eastAsia="zh-CN" w:bidi="ar-SA"/>
    </w:rPr>
  </w:style>
  <w:style w:type="character" w:customStyle="1" w:styleId="29">
    <w:name w:val="无间隔 字符"/>
    <w:link w:val="28"/>
    <w:qFormat/>
    <w:uiPriority w:val="1"/>
    <w:rPr>
      <w:sz w:val="22"/>
      <w:szCs w:val="22"/>
      <w:lang w:bidi="ar-SA"/>
    </w:rPr>
  </w:style>
  <w:style w:type="character" w:customStyle="1" w:styleId="30">
    <w:name w:val="标题 字符"/>
    <w:link w:val="13"/>
    <w:qFormat/>
    <w:uiPriority w:val="0"/>
    <w:rPr>
      <w:rFonts w:ascii="Cambria" w:hAnsi="Cambria"/>
      <w:b/>
      <w:bCs/>
      <w:kern w:val="2"/>
      <w:sz w:val="32"/>
      <w:szCs w:val="32"/>
      <w:lang w:val="zh-CN" w:eastAsia="zh-CN"/>
    </w:rPr>
  </w:style>
  <w:style w:type="character" w:customStyle="1" w:styleId="31">
    <w:name w:val="批注框文本 字符"/>
    <w:link w:val="7"/>
    <w:semiHidden/>
    <w:qFormat/>
    <w:uiPriority w:val="99"/>
    <w:rPr>
      <w:kern w:val="2"/>
      <w:sz w:val="18"/>
      <w:szCs w:val="18"/>
    </w:rPr>
  </w:style>
  <w:style w:type="character" w:customStyle="1" w:styleId="32">
    <w:name w:val="脚注文本 字符"/>
    <w:link w:val="10"/>
    <w:qFormat/>
    <w:uiPriority w:val="0"/>
    <w:rPr>
      <w:rFonts w:ascii="Tahoma" w:hAnsi="Tahoma" w:eastAsia="微软雅黑" w:cs="Times New Roman"/>
      <w:sz w:val="18"/>
      <w:szCs w:val="18"/>
    </w:rPr>
  </w:style>
  <w:style w:type="table" w:customStyle="1" w:styleId="33">
    <w:name w:val="网格型2"/>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批注主题 字符"/>
    <w:basedOn w:val="26"/>
    <w:link w:val="14"/>
    <w:qFormat/>
    <w:uiPriority w:val="99"/>
    <w:rPr>
      <w:rFonts w:ascii="Times New Roman" w:hAnsi="Times New Roman"/>
      <w:b/>
      <w:bCs/>
      <w:kern w:val="2"/>
      <w:sz w:val="21"/>
      <w:szCs w:val="22"/>
    </w:rPr>
  </w:style>
  <w:style w:type="paragraph" w:styleId="35">
    <w:name w:val="List Paragraph"/>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1"/>
    <w:basedOn w:val="1"/>
    <w:next w:val="3"/>
    <w:qFormat/>
    <w:uiPriority w:val="0"/>
    <w:pPr>
      <w:widowControl/>
    </w:pPr>
    <w:rPr>
      <w:rFonts w:ascii="Arial" w:hAnsi="Arial"/>
      <w:kern w:val="0"/>
      <w:sz w:val="20"/>
      <w:szCs w:val="20"/>
    </w:rPr>
  </w:style>
  <w:style w:type="character" w:customStyle="1" w:styleId="38">
    <w:name w:val="正文文本 3 字符"/>
    <w:basedOn w:val="17"/>
    <w:link w:val="3"/>
    <w:semiHidden/>
    <w:qFormat/>
    <w:uiPriority w:val="99"/>
    <w:rPr>
      <w:kern w:val="2"/>
      <w:sz w:val="16"/>
      <w:szCs w:val="16"/>
    </w:rPr>
  </w:style>
  <w:style w:type="character" w:customStyle="1" w:styleId="39">
    <w:name w:val="正文文本缩进 2 字符"/>
    <w:basedOn w:val="17"/>
    <w:link w:val="5"/>
    <w:qFormat/>
    <w:uiPriority w:val="0"/>
    <w:rPr>
      <w:rFonts w:ascii="Times New Roman" w:hAnsi="Times New Roman"/>
      <w:kern w:val="2"/>
      <w:sz w:val="21"/>
      <w:szCs w:val="24"/>
    </w:rPr>
  </w:style>
  <w:style w:type="character" w:customStyle="1" w:styleId="40">
    <w:name w:val="正文文本 2 字符"/>
    <w:basedOn w:val="17"/>
    <w:link w:val="11"/>
    <w:qFormat/>
    <w:uiPriority w:val="99"/>
    <w:rPr>
      <w:rFonts w:ascii="Times New Roman" w:hAnsi="Times New Roman"/>
      <w:sz w:val="21"/>
      <w:szCs w:val="21"/>
    </w:rPr>
  </w:style>
  <w:style w:type="character" w:customStyle="1" w:styleId="41">
    <w:name w:val="EmailStyle301"/>
    <w:semiHidden/>
    <w:qFormat/>
    <w:uiPriority w:val="99"/>
    <w:rPr>
      <w:rFonts w:ascii="Arial" w:hAnsi="Arial" w:eastAsia="宋体" w:cs="Arial"/>
      <w:color w:val="000080"/>
      <w:sz w:val="20"/>
      <w:szCs w:val="20"/>
    </w:rPr>
  </w:style>
  <w:style w:type="paragraph" w:customStyle="1" w:styleId="42">
    <w:name w:val="Char Char Char Char Char Char Char Char Char Char Char Char Char Char Char Char Char Char Char Char Char Char"/>
    <w:basedOn w:val="1"/>
    <w:qFormat/>
    <w:uiPriority w:val="99"/>
    <w:pPr>
      <w:tabs>
        <w:tab w:val="left" w:pos="720"/>
      </w:tabs>
      <w:ind w:left="720" w:hanging="720"/>
    </w:pPr>
    <w:rPr>
      <w:rFonts w:ascii="Times New Roman" w:hAnsi="Times New Roman"/>
      <w:sz w:val="24"/>
      <w:szCs w:val="24"/>
    </w:rPr>
  </w:style>
  <w:style w:type="paragraph" w:customStyle="1" w:styleId="43">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44">
    <w:name w:val="网格型1"/>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尾注文本 字符"/>
    <w:basedOn w:val="17"/>
    <w:link w:val="6"/>
    <w:semiHidden/>
    <w:qFormat/>
    <w:uiPriority w:val="99"/>
    <w:rPr>
      <w:kern w:val="2"/>
      <w:sz w:val="21"/>
      <w:szCs w:val="22"/>
    </w:rPr>
  </w:style>
  <w:style w:type="character" w:styleId="46">
    <w:name w:val="Placeholder Text"/>
    <w:basedOn w:val="17"/>
    <w:semiHidden/>
    <w:qFormat/>
    <w:uiPriority w:val="99"/>
    <w:rPr>
      <w:color w:val="808080"/>
    </w:rPr>
  </w:style>
  <w:style w:type="paragraph" w:customStyle="1" w:styleId="47">
    <w:name w:val="Char"/>
    <w:basedOn w:val="1"/>
    <w:qFormat/>
    <w:uiPriority w:val="0"/>
    <w:rPr>
      <w:rFonts w:ascii="Times New Roman" w:hAnsi="Times New Roman"/>
      <w:szCs w:val="24"/>
    </w:rPr>
  </w:style>
  <w:style w:type="paragraph" w:customStyle="1" w:styleId="48">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CLIC</Company>
  <Pages>16</Pages>
  <Words>6174</Words>
  <Characters>35195</Characters>
  <Lines>293</Lines>
  <Paragraphs>82</Paragraphs>
  <TotalTime>1</TotalTime>
  <ScaleCrop>false</ScaleCrop>
  <LinksUpToDate>false</LinksUpToDate>
  <CharactersWithSpaces>41287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2021-11-19T11:13:00Z</dcterms:created>
  <dc:creator>韩松</dc:creator>
  <cp:lastModifiedBy>SHILINGYI251</cp:lastModifiedBy>
  <cp:lastPrinted>2021-11-18T00:59:00Z</cp:lastPrinted>
  <dcterms:modified xsi:type="dcterms:W3CDTF">2025-11-04T10:59:53Z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E7CF9B1289B34C1CA895E707DE67F126_13</vt:lpwstr>
  </property>
</Properties>
</file>